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8511C" w:rsidRDefault="004717FF" w:rsidP="0018511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</w:t>
            </w:r>
            <w:proofErr w:type="gramStart"/>
            <w:r>
              <w:rPr>
                <w:rFonts w:ascii="Arial" w:hAnsi="Arial" w:cs="Arial"/>
                <w:sz w:val="24"/>
              </w:rPr>
              <w:t>07/05/2019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tarih ve 37 sayılı ara kararı ile Plan ve Bütçe Komisyonuna havale edilen 2018 Mali Yılı Kesin Hesabına ait 09/05/2018 tarihli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D57E2" w:rsidRDefault="006D57E2" w:rsidP="006D57E2">
            <w:pPr>
              <w:ind w:right="504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147228">
            <w:pPr>
              <w:ind w:right="504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147228">
            <w:pPr>
              <w:ind w:right="50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Belediyemizin 201</w:t>
            </w:r>
            <w:r w:rsidR="0094088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Bütçe Kesin Hesabı Belediye Encümeninin </w:t>
            </w:r>
            <w:proofErr w:type="gramStart"/>
            <w:r w:rsidR="0091581D">
              <w:rPr>
                <w:rFonts w:ascii="Arial" w:hAnsi="Arial" w:cs="Arial"/>
                <w:sz w:val="24"/>
                <w:szCs w:val="24"/>
              </w:rPr>
              <w:t>25/04/2019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 w:rsidR="0091581D">
              <w:rPr>
                <w:rFonts w:ascii="Arial" w:hAnsi="Arial" w:cs="Arial"/>
                <w:sz w:val="24"/>
                <w:szCs w:val="24"/>
              </w:rPr>
              <w:t>132</w:t>
            </w:r>
            <w:r>
              <w:rPr>
                <w:rFonts w:ascii="Arial" w:hAnsi="Arial" w:cs="Arial"/>
                <w:sz w:val="24"/>
                <w:szCs w:val="24"/>
              </w:rPr>
              <w:t xml:space="preserve"> sayılı kararı ile kabul edilmiş, görüşülmek üzere Belediye Meclisine sunulmuştur. Belediye Meclisinin </w:t>
            </w:r>
            <w:proofErr w:type="gramStart"/>
            <w:r w:rsidR="0091581D">
              <w:rPr>
                <w:rFonts w:ascii="Arial" w:hAnsi="Arial" w:cs="Arial"/>
                <w:sz w:val="24"/>
                <w:szCs w:val="24"/>
              </w:rPr>
              <w:t>07/05/2019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3</w:t>
            </w:r>
            <w:r w:rsidR="0091581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sayılı ara kararı ile de Plan ve Bütçe Komisyonuna havale edilmiş ve komisyon gerekli incelemeyi yaparak, konuyu </w:t>
            </w:r>
            <w:r w:rsidR="0091581D">
              <w:rPr>
                <w:rFonts w:ascii="Arial" w:hAnsi="Arial" w:cs="Arial"/>
                <w:sz w:val="24"/>
                <w:szCs w:val="24"/>
              </w:rPr>
              <w:t>09/05/2019</w:t>
            </w:r>
            <w:r>
              <w:rPr>
                <w:rFonts w:ascii="Arial" w:hAnsi="Arial" w:cs="Arial"/>
                <w:sz w:val="24"/>
                <w:szCs w:val="24"/>
              </w:rPr>
              <w:t xml:space="preserve"> günü karara bağlamıştır.</w:t>
            </w:r>
          </w:p>
          <w:p w:rsidR="006D57E2" w:rsidRDefault="006D57E2" w:rsidP="00147228">
            <w:pPr>
              <w:ind w:right="504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147228">
            <w:pPr>
              <w:ind w:right="50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ve Bütçe Komisyon raporunun mecliste görüşülerek oylanması sonucunda; 5018 sayılı Kamu Mali Yönetimi ve Kontrol Kanunun 42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Mahalli İdareler Bütçe ve Muhasebe Yönetmeliğinin 41. maddesi hükümlerine uygun olarak düzenlendiği tespit edilen Yenişehir Belediyesi 201</w:t>
            </w:r>
            <w:r w:rsidR="0091581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Gelir ve Gider Bütçesi Kesin Hesabı ve Cetvellerinin 5393 sayılı Belediye Kanunun 18/b maddesine göre komisyon raporu doğrultusunda aşağıda belirtildiği gibi idareden geldiği şekliyle kabulüne oy  birliği ile karar verildi. </w:t>
            </w:r>
          </w:p>
          <w:p w:rsidR="006D57E2" w:rsidRPr="0018511C" w:rsidRDefault="006D57E2" w:rsidP="006D57E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Pr="0018511C" w:rsidRDefault="006D57E2" w:rsidP="006D57E2">
            <w:pPr>
              <w:numPr>
                <w:ilvl w:val="0"/>
                <w:numId w:val="1"/>
              </w:numPr>
              <w:tabs>
                <w:tab w:val="num" w:pos="601"/>
              </w:tabs>
              <w:ind w:right="-108" w:hanging="1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>GİDER BÜTÇESİ VE KESİN HESABI</w:t>
            </w:r>
          </w:p>
          <w:p w:rsidR="006D57E2" w:rsidRPr="0018511C" w:rsidRDefault="006D57E2" w:rsidP="006D57E2">
            <w:pPr>
              <w:tabs>
                <w:tab w:val="left" w:pos="131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Pr="0018511C" w:rsidRDefault="006D57E2" w:rsidP="006D57E2">
            <w:pPr>
              <w:tabs>
                <w:tab w:val="left" w:pos="885"/>
                <w:tab w:val="left" w:pos="1552"/>
              </w:tabs>
              <w:ind w:left="-108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>1)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ab/>
              <w:t>201</w:t>
            </w:r>
            <w:r w:rsidR="0091581D" w:rsidRPr="0018511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 Mali Yılı Gider </w:t>
            </w:r>
            <w:proofErr w:type="gramStart"/>
            <w:r w:rsidRPr="0018511C">
              <w:rPr>
                <w:rFonts w:ascii="Arial" w:hAnsi="Arial" w:cs="Arial"/>
                <w:b/>
                <w:sz w:val="24"/>
                <w:szCs w:val="24"/>
              </w:rPr>
              <w:t>Bütçesi  :</w:t>
            </w:r>
            <w:proofErr w:type="gramEnd"/>
          </w:p>
          <w:p w:rsidR="006D57E2" w:rsidRPr="0018511C" w:rsidRDefault="006D57E2" w:rsidP="006D57E2">
            <w:pPr>
              <w:tabs>
                <w:tab w:val="left" w:pos="1310"/>
                <w:tab w:val="left" w:pos="1552"/>
              </w:tabs>
              <w:ind w:left="13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226" w:rsidRPr="0018511C" w:rsidRDefault="006D57E2" w:rsidP="006A5226">
            <w:pPr>
              <w:tabs>
                <w:tab w:val="left" w:pos="851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="006A5226" w:rsidRPr="0018511C">
              <w:rPr>
                <w:rFonts w:ascii="Arial" w:hAnsi="Arial" w:cs="Arial"/>
                <w:b/>
                <w:sz w:val="24"/>
                <w:szCs w:val="24"/>
              </w:rPr>
              <w:t xml:space="preserve">01. </w:t>
            </w:r>
            <w:r w:rsidR="006A5226" w:rsidRPr="0018511C">
              <w:rPr>
                <w:rFonts w:ascii="Arial" w:hAnsi="Arial" w:cs="Arial"/>
                <w:sz w:val="24"/>
                <w:szCs w:val="24"/>
              </w:rPr>
              <w:t xml:space="preserve"> Personel Giderleri</w:t>
            </w:r>
            <w:r w:rsidR="006A5226"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="006A5226" w:rsidRPr="0018511C">
              <w:rPr>
                <w:rFonts w:ascii="Arial" w:hAnsi="Arial" w:cs="Arial"/>
                <w:sz w:val="24"/>
                <w:szCs w:val="24"/>
              </w:rPr>
              <w:tab/>
              <w:t>37.530.747,00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left" w:pos="9342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02.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Sosyal Güvenlik Kurumlarına Devlet Primi Giderleri </w:t>
            </w:r>
            <w:r w:rsidRPr="0018511C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>=      6.970,000,00</w:t>
            </w:r>
            <w:r w:rsidRPr="0018511C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 xml:space="preserve">      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03.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Mal ve Hizmet Alımı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 xml:space="preserve">    42.774.050,00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04.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Faiz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250.000,00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05.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Cari Transferler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5.865.000,00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06.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Sermaye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50.024.000,00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07.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Sermaye Transferleri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>1.053.074,00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09.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Yedek Ödenekler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  <w:u w:val="single"/>
              </w:rPr>
              <w:t>8.002.000,00</w:t>
            </w:r>
          </w:p>
          <w:p w:rsidR="006A5226" w:rsidRPr="0018511C" w:rsidRDefault="006A5226" w:rsidP="006A5226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TOPLAM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152.468.871,00</w:t>
            </w:r>
          </w:p>
          <w:p w:rsidR="006A5226" w:rsidRPr="0018511C" w:rsidRDefault="006A5226" w:rsidP="006A5226">
            <w:pPr>
              <w:tabs>
                <w:tab w:val="left" w:pos="885"/>
                <w:tab w:val="left" w:pos="1552"/>
              </w:tabs>
              <w:ind w:left="-108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>2)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2018 Mali Yılı Gider Kesin </w:t>
            </w:r>
            <w:proofErr w:type="gramStart"/>
            <w:r w:rsidRPr="0018511C">
              <w:rPr>
                <w:rFonts w:ascii="Arial" w:hAnsi="Arial" w:cs="Arial"/>
                <w:b/>
                <w:sz w:val="24"/>
                <w:szCs w:val="24"/>
              </w:rPr>
              <w:t>Hesabı :</w:t>
            </w:r>
            <w:proofErr w:type="gramEnd"/>
          </w:p>
          <w:p w:rsidR="006A5226" w:rsidRPr="0018511C" w:rsidRDefault="006A5226" w:rsidP="006A5226">
            <w:pPr>
              <w:tabs>
                <w:tab w:val="left" w:pos="1310"/>
                <w:tab w:val="left" w:pos="1552"/>
              </w:tabs>
              <w:ind w:left="13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226" w:rsidRPr="0018511C" w:rsidRDefault="006A5226" w:rsidP="006A5226">
            <w:pPr>
              <w:tabs>
                <w:tab w:val="left" w:pos="851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01. 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Personel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 xml:space="preserve">33.965.270,87      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02.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Sosyal Güvenlik Kurumlarına Devlet Primi Giderleri </w:t>
            </w:r>
            <w:r w:rsidRPr="0018511C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>=</w:t>
            </w:r>
            <w:r w:rsidRPr="0018511C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>6.092.634,34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03.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Mal ve Hizmet Alımı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36.587.893,61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04.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Faiz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79.193,79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05.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Cari Transferler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2.398.434,32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06. 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Sermaye Giderleri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46.930.738,44</w:t>
            </w:r>
          </w:p>
          <w:p w:rsidR="006A5226" w:rsidRPr="0018511C" w:rsidRDefault="006A5226" w:rsidP="006A5226">
            <w:pPr>
              <w:tabs>
                <w:tab w:val="left" w:pos="851"/>
                <w:tab w:val="left" w:pos="1735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>-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07.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Sermaye Transferleri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18511C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  <w:u w:val="single"/>
              </w:rPr>
              <w:t>1.172.942,14</w:t>
            </w:r>
          </w:p>
          <w:p w:rsidR="006A5226" w:rsidRPr="0018511C" w:rsidRDefault="006A5226" w:rsidP="006A5226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TOPLAM</w:t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sz w:val="24"/>
                <w:szCs w:val="24"/>
              </w:rPr>
              <w:tab/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127.227.107,51</w:t>
            </w:r>
          </w:p>
          <w:p w:rsidR="006D57E2" w:rsidRPr="0018511C" w:rsidRDefault="006D57E2" w:rsidP="006D57E2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Pr="006A5226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center"/>
              <w:rPr>
                <w:b/>
                <w:sz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KARAR</w:t>
            </w:r>
          </w:p>
          <w:p w:rsidR="00C668A5" w:rsidRDefault="00C668A5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  201</w:t>
            </w:r>
            <w:r w:rsidR="00867D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içerisinde tertipler arası yapılan aktarma </w:t>
            </w:r>
            <w:r w:rsidR="00867DB5" w:rsidRPr="00867DB5">
              <w:rPr>
                <w:rFonts w:ascii="Arial" w:hAnsi="Arial" w:cs="Arial"/>
                <w:b/>
                <w:sz w:val="24"/>
                <w:szCs w:val="24"/>
              </w:rPr>
              <w:t>9.503.772,04</w:t>
            </w:r>
            <w:r w:rsidR="0086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TL.’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numPr>
                <w:ilvl w:val="0"/>
                <w:numId w:val="2"/>
              </w:numPr>
              <w:tabs>
                <w:tab w:val="left" w:pos="1735"/>
                <w:tab w:val="left" w:pos="5846"/>
                <w:tab w:val="left" w:pos="7263"/>
                <w:tab w:val="left" w:pos="7672"/>
                <w:tab w:val="right" w:pos="9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867D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yılında ödenen toplam bütçe gideri </w:t>
            </w:r>
            <w:r w:rsidR="00867DB5" w:rsidRPr="00867DB5">
              <w:rPr>
                <w:rFonts w:ascii="Arial" w:hAnsi="Arial" w:cs="Arial"/>
                <w:b/>
                <w:sz w:val="24"/>
                <w:szCs w:val="24"/>
              </w:rPr>
              <w:t>127.227.107,51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TL.’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numPr>
                <w:ilvl w:val="0"/>
                <w:numId w:val="2"/>
              </w:num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Yıl içerisinde harcanmayıp iptal edilen ödenek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miktarı  </w:t>
            </w:r>
            <w:r w:rsidR="00867DB5" w:rsidRPr="00867DB5">
              <w:rPr>
                <w:rFonts w:ascii="Arial" w:hAnsi="Arial" w:cs="Arial"/>
                <w:b/>
                <w:sz w:val="24"/>
                <w:szCs w:val="24"/>
              </w:rPr>
              <w:t>25</w:t>
            </w:r>
            <w:proofErr w:type="gramEnd"/>
            <w:r w:rsidR="00867DB5" w:rsidRPr="00867DB5">
              <w:rPr>
                <w:rFonts w:ascii="Arial" w:hAnsi="Arial" w:cs="Arial"/>
                <w:b/>
                <w:sz w:val="24"/>
                <w:szCs w:val="24"/>
              </w:rPr>
              <w:t>.241.763,49</w:t>
            </w:r>
            <w:r w:rsidR="0086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TL.’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 xml:space="preserve">   201</w:t>
            </w:r>
            <w:r w:rsidR="00867D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Gider  Bütçesinin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%8</w:t>
            </w:r>
            <w:r w:rsidR="00867DB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gerçekleştiği görülmüştür.</w:t>
            </w: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numPr>
                <w:ilvl w:val="0"/>
                <w:numId w:val="1"/>
              </w:numPr>
              <w:tabs>
                <w:tab w:val="num" w:pos="601"/>
              </w:tabs>
              <w:ind w:hanging="1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GELİR BÜTÇE VE KESİN HESABI </w:t>
            </w:r>
          </w:p>
          <w:p w:rsidR="006D57E2" w:rsidRDefault="006D57E2" w:rsidP="006D57E2">
            <w:pPr>
              <w:ind w:left="8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885"/>
                <w:tab w:val="left" w:pos="1552"/>
              </w:tabs>
              <w:ind w:left="-108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1)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201</w:t>
            </w:r>
            <w:r w:rsidR="00867DB5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Mali Yılı Gelir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Bütçesi  :</w:t>
            </w:r>
            <w:proofErr w:type="gramEnd"/>
          </w:p>
          <w:p w:rsidR="006D57E2" w:rsidRDefault="006D57E2" w:rsidP="006D57E2">
            <w:pPr>
              <w:tabs>
                <w:tab w:val="left" w:pos="1310"/>
                <w:tab w:val="left" w:pos="1552"/>
              </w:tabs>
              <w:ind w:left="13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872"/>
                <w:tab w:val="left" w:pos="1168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01.</w:t>
            </w:r>
            <w:r>
              <w:rPr>
                <w:rFonts w:ascii="Arial" w:hAnsi="Arial" w:cs="Arial"/>
                <w:sz w:val="24"/>
                <w:szCs w:val="24"/>
              </w:rPr>
              <w:t xml:space="preserve">  Vergi Gelirleri 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46.200.000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6D57E2" w:rsidRDefault="006D57E2" w:rsidP="006D57E2">
            <w:pPr>
              <w:tabs>
                <w:tab w:val="left" w:pos="885"/>
                <w:tab w:val="left" w:pos="1152"/>
                <w:tab w:val="left" w:pos="7263"/>
                <w:tab w:val="right" w:pos="9214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-   03.</w:t>
            </w:r>
            <w:r>
              <w:rPr>
                <w:rFonts w:ascii="Arial" w:hAnsi="Arial" w:cs="Arial"/>
                <w:sz w:val="24"/>
                <w:szCs w:val="24"/>
              </w:rPr>
              <w:t xml:space="preserve">  Teşebbüs ve Mülkiyet Gelirleri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3446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sz w:val="24"/>
                <w:szCs w:val="24"/>
              </w:rPr>
              <w:t>328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sz w:val="24"/>
                <w:szCs w:val="24"/>
              </w:rPr>
              <w:t>871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6D57E2" w:rsidRDefault="006D57E2" w:rsidP="006D57E2">
            <w:pPr>
              <w:tabs>
                <w:tab w:val="left" w:pos="885"/>
                <w:tab w:val="left" w:pos="1152"/>
                <w:tab w:val="left" w:pos="7263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-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04.  </w:t>
            </w:r>
            <w:r>
              <w:rPr>
                <w:rFonts w:ascii="Arial" w:hAnsi="Arial" w:cs="Arial"/>
                <w:sz w:val="24"/>
                <w:szCs w:val="24"/>
              </w:rPr>
              <w:t xml:space="preserve">Alınan Bağış ve Yardımlar ile Özel Gel.                     =        </w:t>
            </w:r>
            <w:r w:rsidR="001851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344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0.000,00</w:t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7263"/>
                <w:tab w:val="right" w:pos="9214"/>
              </w:tabs>
              <w:ind w:left="116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05. </w:t>
            </w:r>
            <w:r>
              <w:rPr>
                <w:rFonts w:ascii="Arial" w:hAnsi="Arial" w:cs="Arial"/>
                <w:sz w:val="24"/>
                <w:szCs w:val="24"/>
              </w:rPr>
              <w:t xml:space="preserve"> Diğer Gelirler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80.190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7263"/>
                <w:tab w:val="right" w:pos="9214"/>
              </w:tabs>
              <w:ind w:left="116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06.  </w:t>
            </w:r>
            <w:r>
              <w:rPr>
                <w:rFonts w:ascii="Arial" w:hAnsi="Arial" w:cs="Arial"/>
                <w:sz w:val="24"/>
                <w:szCs w:val="24"/>
              </w:rPr>
              <w:t xml:space="preserve">Sermaye Gelirleri 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50.000,00</w:t>
            </w:r>
          </w:p>
          <w:p w:rsidR="006D57E2" w:rsidRDefault="006D57E2" w:rsidP="006D57E2">
            <w:pPr>
              <w:tabs>
                <w:tab w:val="left" w:pos="885"/>
                <w:tab w:val="left" w:pos="1168"/>
                <w:tab w:val="left" w:pos="7263"/>
                <w:tab w:val="right" w:pos="92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08.</w:t>
            </w:r>
            <w:r>
              <w:rPr>
                <w:rFonts w:ascii="Arial" w:hAnsi="Arial" w:cs="Arial"/>
                <w:sz w:val="24"/>
                <w:szCs w:val="24"/>
              </w:rPr>
              <w:t xml:space="preserve">  Alacaklardan Tahsilatlar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  <w:t>250.000,00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TOPLAM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52.468.871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,00</w:t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5421"/>
                <w:tab w:val="left" w:pos="7263"/>
                <w:tab w:val="left" w:pos="7672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D57E2" w:rsidRDefault="006D57E2" w:rsidP="006D57E2">
            <w:pPr>
              <w:tabs>
                <w:tab w:val="left" w:pos="885"/>
                <w:tab w:val="left" w:pos="1552"/>
              </w:tabs>
              <w:ind w:left="-108" w:firstLine="39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201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Mali Yılı Gelir Kesin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Hesabı :</w:t>
            </w:r>
            <w:proofErr w:type="gramEnd"/>
          </w:p>
          <w:p w:rsidR="006D57E2" w:rsidRDefault="006D57E2" w:rsidP="006D57E2">
            <w:pPr>
              <w:tabs>
                <w:tab w:val="left" w:pos="1310"/>
                <w:tab w:val="left" w:pos="1552"/>
              </w:tabs>
              <w:ind w:left="13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872"/>
                <w:tab w:val="left" w:pos="1168"/>
                <w:tab w:val="left" w:pos="7263"/>
                <w:tab w:val="right" w:pos="9214"/>
              </w:tabs>
              <w:ind w:left="1168" w:hanging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01.</w:t>
            </w:r>
            <w:r>
              <w:rPr>
                <w:rFonts w:ascii="Arial" w:hAnsi="Arial" w:cs="Arial"/>
                <w:sz w:val="24"/>
                <w:szCs w:val="24"/>
              </w:rPr>
              <w:t xml:space="preserve">  Vergi Gelirleri 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="00E3446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sz w:val="24"/>
                <w:szCs w:val="24"/>
              </w:rPr>
              <w:t>008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sz w:val="24"/>
                <w:szCs w:val="24"/>
              </w:rPr>
              <w:t>143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3446B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6D57E2" w:rsidRDefault="006D57E2" w:rsidP="006D57E2">
            <w:pPr>
              <w:tabs>
                <w:tab w:val="left" w:pos="885"/>
                <w:tab w:val="left" w:pos="1152"/>
                <w:tab w:val="left" w:pos="7263"/>
                <w:tab w:val="right" w:pos="9214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-   03.</w:t>
            </w:r>
            <w:r>
              <w:rPr>
                <w:rFonts w:ascii="Arial" w:hAnsi="Arial" w:cs="Arial"/>
                <w:sz w:val="24"/>
                <w:szCs w:val="24"/>
              </w:rPr>
              <w:t xml:space="preserve">  Teşebbüs ve Mülkiyet Gelirleri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4.435.838,09</w:t>
            </w:r>
          </w:p>
          <w:p w:rsidR="006D57E2" w:rsidRDefault="006D57E2" w:rsidP="006D57E2">
            <w:pPr>
              <w:tabs>
                <w:tab w:val="left" w:pos="885"/>
                <w:tab w:val="left" w:pos="1152"/>
                <w:tab w:val="left" w:pos="7263"/>
                <w:tab w:val="right" w:pos="9214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04.  </w:t>
            </w:r>
            <w:r>
              <w:rPr>
                <w:rFonts w:ascii="Arial" w:hAnsi="Arial" w:cs="Arial"/>
                <w:sz w:val="24"/>
                <w:szCs w:val="24"/>
              </w:rPr>
              <w:t xml:space="preserve">Alınan Bağış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Özel Gelirler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="00E3446B">
              <w:rPr>
                <w:rFonts w:ascii="Arial" w:hAnsi="Arial" w:cs="Arial"/>
                <w:sz w:val="24"/>
                <w:szCs w:val="24"/>
              </w:rPr>
              <w:t xml:space="preserve">                 -</w:t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7263"/>
                <w:tab w:val="right" w:pos="9214"/>
              </w:tabs>
              <w:ind w:left="116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05. </w:t>
            </w:r>
            <w:r>
              <w:rPr>
                <w:rFonts w:ascii="Arial" w:hAnsi="Arial" w:cs="Arial"/>
                <w:sz w:val="24"/>
                <w:szCs w:val="24"/>
              </w:rPr>
              <w:t xml:space="preserve"> Diğer Gelirler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  <w:r w:rsidR="00E3446B">
              <w:rPr>
                <w:rFonts w:ascii="Arial" w:hAnsi="Arial" w:cs="Arial"/>
                <w:sz w:val="24"/>
                <w:szCs w:val="24"/>
              </w:rPr>
              <w:t>70.382.831,57</w:t>
            </w:r>
          </w:p>
          <w:p w:rsidR="006D57E2" w:rsidRDefault="006D57E2" w:rsidP="006D57E2">
            <w:pPr>
              <w:tabs>
                <w:tab w:val="left" w:pos="1168"/>
                <w:tab w:val="left" w:pos="1735"/>
                <w:tab w:val="left" w:pos="7263"/>
                <w:tab w:val="right" w:pos="9214"/>
              </w:tabs>
              <w:ind w:left="116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06.  </w:t>
            </w:r>
            <w:r>
              <w:rPr>
                <w:rFonts w:ascii="Arial" w:hAnsi="Arial" w:cs="Arial"/>
                <w:sz w:val="24"/>
                <w:szCs w:val="24"/>
              </w:rPr>
              <w:t xml:space="preserve">Sermaye Gelirleri 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2.411.400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6D57E2" w:rsidRDefault="006D57E2" w:rsidP="006D57E2">
            <w:pPr>
              <w:tabs>
                <w:tab w:val="left" w:pos="885"/>
                <w:tab w:val="left" w:pos="1168"/>
                <w:tab w:val="left" w:pos="7230"/>
                <w:tab w:val="right" w:pos="85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08.</w:t>
            </w:r>
            <w:r>
              <w:rPr>
                <w:rFonts w:ascii="Arial" w:hAnsi="Arial" w:cs="Arial"/>
                <w:sz w:val="24"/>
                <w:szCs w:val="24"/>
              </w:rPr>
              <w:t xml:space="preserve">  Alacaklardan Tahsilatlar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  <w:t xml:space="preserve">-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D57E2" w:rsidRDefault="006D57E2" w:rsidP="006D57E2">
            <w:pPr>
              <w:tabs>
                <w:tab w:val="left" w:pos="885"/>
                <w:tab w:val="left" w:pos="1168"/>
                <w:tab w:val="left" w:pos="5704"/>
                <w:tab w:val="left" w:pos="7263"/>
                <w:tab w:val="right" w:pos="921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TOPLAM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238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213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735"/>
                <w:tab w:val="left" w:pos="5846"/>
                <w:tab w:val="left" w:pos="7263"/>
                <w:tab w:val="left" w:pos="7672"/>
                <w:tab w:val="right" w:pos="9512"/>
              </w:tabs>
              <w:ind w:left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885"/>
                <w:tab w:val="left" w:pos="1168"/>
                <w:tab w:val="left" w:pos="5704"/>
                <w:tab w:val="left" w:pos="7263"/>
                <w:tab w:val="right" w:pos="921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7E2" w:rsidRDefault="006D57E2" w:rsidP="006D57E2">
            <w:pPr>
              <w:numPr>
                <w:ilvl w:val="0"/>
                <w:numId w:val="3"/>
              </w:num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Mali yılı içerisinde gerçekleşen tahakkuk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miktarı :</w:t>
            </w:r>
            <w:proofErr w:type="gramEnd"/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01.</w:t>
            </w:r>
            <w:r>
              <w:rPr>
                <w:rFonts w:ascii="Arial" w:hAnsi="Arial" w:cs="Arial"/>
                <w:sz w:val="24"/>
                <w:szCs w:val="24"/>
              </w:rPr>
              <w:t xml:space="preserve"> Vergi Gelirleri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3446B" w:rsidRPr="006205F8">
              <w:rPr>
                <w:rFonts w:ascii="Arial" w:hAnsi="Arial" w:cs="Arial"/>
                <w:sz w:val="24"/>
                <w:szCs w:val="24"/>
              </w:rPr>
              <w:t>58.635.336,52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03.</w:t>
            </w:r>
            <w:r>
              <w:rPr>
                <w:rFonts w:ascii="Arial" w:hAnsi="Arial" w:cs="Arial"/>
                <w:sz w:val="24"/>
                <w:szCs w:val="24"/>
              </w:rPr>
              <w:t xml:space="preserve"> Teşebbüs ve Mülkiyet Gelirleri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5.686.369,51</w:t>
            </w:r>
          </w:p>
          <w:p w:rsidR="006D57E2" w:rsidRDefault="006D57E2" w:rsidP="006205F8">
            <w:pPr>
              <w:tabs>
                <w:tab w:val="left" w:pos="885"/>
                <w:tab w:val="left" w:pos="1168"/>
                <w:tab w:val="left" w:pos="7263"/>
                <w:tab w:val="right" w:pos="9512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-     04.  </w:t>
            </w:r>
            <w:r>
              <w:rPr>
                <w:rFonts w:ascii="Arial" w:hAnsi="Arial" w:cs="Arial"/>
                <w:sz w:val="24"/>
                <w:szCs w:val="24"/>
              </w:rPr>
              <w:t xml:space="preserve">Alınan Bağış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Özel Gelirler</w:t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="00B47DA7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E3446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    05.</w:t>
            </w:r>
            <w:r>
              <w:rPr>
                <w:rFonts w:ascii="Arial" w:hAnsi="Arial" w:cs="Arial"/>
                <w:sz w:val="24"/>
                <w:szCs w:val="24"/>
              </w:rPr>
              <w:t xml:space="preserve"> Diğer Gelirleri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72.358.600,73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06.</w:t>
            </w:r>
            <w:r>
              <w:rPr>
                <w:rFonts w:ascii="Arial" w:hAnsi="Arial" w:cs="Arial"/>
                <w:sz w:val="24"/>
                <w:szCs w:val="24"/>
              </w:rPr>
              <w:t xml:space="preserve"> Sermaye Gelirleri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sz w:val="24"/>
                <w:szCs w:val="24"/>
              </w:rPr>
              <w:t>2.411.400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08.</w:t>
            </w:r>
            <w:r>
              <w:rPr>
                <w:rFonts w:ascii="Arial" w:hAnsi="Arial" w:cs="Arial"/>
                <w:sz w:val="24"/>
                <w:szCs w:val="24"/>
              </w:rPr>
              <w:t xml:space="preserve"> Alacaklardan Tahsilat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=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B47DA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-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TOPLAM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=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3446B">
              <w:rPr>
                <w:rFonts w:ascii="Arial" w:hAnsi="Arial" w:cs="Arial"/>
                <w:b/>
                <w:sz w:val="24"/>
                <w:szCs w:val="24"/>
              </w:rPr>
              <w:t>139.091.706,76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center"/>
              <w:rPr>
                <w:b/>
                <w:sz w:val="24"/>
              </w:rPr>
            </w:pP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KARAR</w:t>
            </w:r>
          </w:p>
          <w:p w:rsidR="006D57E2" w:rsidRDefault="006D57E2" w:rsidP="006D57E2">
            <w:pPr>
              <w:tabs>
                <w:tab w:val="left" w:pos="1168"/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11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7E2" w:rsidRDefault="006D57E2" w:rsidP="006D57E2">
            <w:pPr>
              <w:tabs>
                <w:tab w:val="left" w:pos="1134"/>
                <w:tab w:val="left" w:pos="5846"/>
                <w:tab w:val="left" w:pos="7263"/>
                <w:tab w:val="left" w:pos="7689"/>
                <w:tab w:val="right" w:pos="9512"/>
              </w:tabs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11C" w:rsidRPr="0018511C" w:rsidRDefault="0018511C" w:rsidP="0018511C">
            <w:pPr>
              <w:numPr>
                <w:ilvl w:val="0"/>
                <w:numId w:val="3"/>
              </w:numPr>
              <w:tabs>
                <w:tab w:val="clear" w:pos="1173"/>
                <w:tab w:val="num" w:pos="74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sz w:val="24"/>
                <w:szCs w:val="24"/>
              </w:rPr>
              <w:t xml:space="preserve">2018 Mali yılı </w:t>
            </w:r>
            <w:proofErr w:type="gramStart"/>
            <w:r w:rsidRPr="0018511C">
              <w:rPr>
                <w:rFonts w:ascii="Arial" w:hAnsi="Arial" w:cs="Arial"/>
                <w:sz w:val="24"/>
                <w:szCs w:val="24"/>
              </w:rPr>
              <w:t>içerisinde  toplanan</w:t>
            </w:r>
            <w:proofErr w:type="gramEnd"/>
            <w:r w:rsidRPr="0018511C">
              <w:rPr>
                <w:rFonts w:ascii="Arial" w:hAnsi="Arial" w:cs="Arial"/>
                <w:sz w:val="24"/>
                <w:szCs w:val="24"/>
              </w:rPr>
              <w:t xml:space="preserve"> toplam Bütçe Gelirleri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116.238.213,20TL</w:t>
            </w:r>
            <w:r w:rsidRPr="0018511C">
              <w:rPr>
                <w:rFonts w:ascii="Arial" w:hAnsi="Arial" w:cs="Arial"/>
                <w:sz w:val="24"/>
                <w:szCs w:val="24"/>
              </w:rPr>
              <w:t>.’dir.</w:t>
            </w: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11C" w:rsidRPr="0018511C" w:rsidRDefault="0018511C" w:rsidP="0018511C">
            <w:pPr>
              <w:tabs>
                <w:tab w:val="left" w:pos="743"/>
                <w:tab w:val="left" w:pos="5846"/>
                <w:tab w:val="left" w:pos="7263"/>
                <w:tab w:val="left" w:pos="7689"/>
                <w:tab w:val="right" w:pos="9512"/>
              </w:tabs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5)   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Yersiz ve fazla tahsil edilip de ret ve iade edilen tahsilat miktarı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350.514,40 TL.’</w:t>
            </w:r>
            <w:proofErr w:type="spellStart"/>
            <w:r w:rsidRPr="0018511C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1851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11C" w:rsidRPr="0018511C" w:rsidRDefault="0018511C" w:rsidP="0018511C">
            <w:pPr>
              <w:tabs>
                <w:tab w:val="left" w:pos="5846"/>
                <w:tab w:val="left" w:pos="7263"/>
                <w:tab w:val="left" w:pos="7689"/>
                <w:tab w:val="right" w:pos="9512"/>
              </w:tabs>
              <w:ind w:left="743" w:hanging="4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 6)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 2018 Mali içerisinde gerçekleştirilen net gelir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116.588.727,60TL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, tahsilattan yapılan ret ve iadelerden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350.514,40TL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18511C">
              <w:rPr>
                <w:rFonts w:ascii="Arial" w:hAnsi="Arial" w:cs="Arial"/>
                <w:sz w:val="24"/>
                <w:szCs w:val="24"/>
              </w:rPr>
              <w:t>düşüldükten</w:t>
            </w:r>
            <w:proofErr w:type="gramEnd"/>
            <w:r w:rsidRPr="0018511C">
              <w:rPr>
                <w:rFonts w:ascii="Arial" w:hAnsi="Arial" w:cs="Arial"/>
                <w:sz w:val="24"/>
                <w:szCs w:val="24"/>
              </w:rPr>
              <w:t xml:space="preserve"> sonra kalan net gelir tahsilatı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116.238.213,20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TL</w:t>
            </w:r>
            <w:r w:rsidRPr="0018511C">
              <w:rPr>
                <w:rFonts w:ascii="Arial" w:hAnsi="Arial" w:cs="Arial"/>
                <w:sz w:val="24"/>
                <w:szCs w:val="24"/>
              </w:rPr>
              <w:t>.’</w:t>
            </w:r>
            <w:proofErr w:type="spellStart"/>
            <w:r w:rsidRPr="0018511C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1851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 xml:space="preserve">7) 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2019 yılına devreden tahakkuk artığı miktarı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22.502.979,16TL</w:t>
            </w:r>
            <w:r w:rsidRPr="0018511C">
              <w:rPr>
                <w:rFonts w:ascii="Arial" w:hAnsi="Arial" w:cs="Arial"/>
                <w:sz w:val="24"/>
                <w:szCs w:val="24"/>
              </w:rPr>
              <w:t>.’dir.</w:t>
            </w: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11C" w:rsidRPr="0018511C" w:rsidRDefault="0018511C" w:rsidP="0018511C">
            <w:pPr>
              <w:tabs>
                <w:tab w:val="left" w:pos="1593"/>
                <w:tab w:val="left" w:pos="5846"/>
                <w:tab w:val="left" w:pos="7263"/>
                <w:tab w:val="left" w:pos="7689"/>
                <w:tab w:val="right" w:pos="9512"/>
              </w:tabs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1C">
              <w:rPr>
                <w:rFonts w:ascii="Arial" w:hAnsi="Arial" w:cs="Arial"/>
                <w:b/>
                <w:sz w:val="24"/>
                <w:szCs w:val="24"/>
              </w:rPr>
              <w:t>8)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  2018 Mali yılı Gelir Bütçesinin </w:t>
            </w:r>
            <w:r w:rsidRPr="0018511C">
              <w:rPr>
                <w:rFonts w:ascii="Arial" w:hAnsi="Arial" w:cs="Arial"/>
                <w:b/>
                <w:sz w:val="24"/>
                <w:szCs w:val="24"/>
              </w:rPr>
              <w:t>%76</w:t>
            </w:r>
            <w:r w:rsidRPr="0018511C">
              <w:rPr>
                <w:rFonts w:ascii="Arial" w:hAnsi="Arial" w:cs="Arial"/>
                <w:sz w:val="24"/>
                <w:szCs w:val="24"/>
              </w:rPr>
              <w:t xml:space="preserve"> gerçekleştiği görülmüştür.</w:t>
            </w:r>
          </w:p>
          <w:p w:rsidR="0018511C" w:rsidRPr="0018511C" w:rsidRDefault="0018511C" w:rsidP="0018511C">
            <w:pPr>
              <w:pStyle w:val="Balk1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B4B7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B7D" w:rsidRDefault="00C57D0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1.BAŞKAN V.</w:t>
            </w:r>
          </w:p>
          <w:p w:rsidR="004B4B7D" w:rsidRDefault="00C57D0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Hasan ÖZCAN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B7D" w:rsidRDefault="004B4B7D">
            <w:pPr>
              <w:pStyle w:val="Balk1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KATİP</w:t>
            </w:r>
            <w:proofErr w:type="gramEnd"/>
          </w:p>
          <w:p w:rsidR="004B4B7D" w:rsidRDefault="004B4B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4B7D" w:rsidRDefault="004B4B7D">
            <w:pPr>
              <w:pStyle w:val="Balk1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KATİP</w:t>
            </w:r>
            <w:proofErr w:type="gramEnd"/>
          </w:p>
          <w:p w:rsidR="004B4B7D" w:rsidRDefault="004B4B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18511C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8511C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47DA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E7C3C">
      <w:headerReference w:type="default" r:id="rId9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50" w:rsidRDefault="00235350">
      <w:r>
        <w:separator/>
      </w:r>
    </w:p>
  </w:endnote>
  <w:endnote w:type="continuationSeparator" w:id="0">
    <w:p w:rsidR="00235350" w:rsidRDefault="0023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50" w:rsidRDefault="00235350">
      <w:r>
        <w:separator/>
      </w:r>
    </w:p>
  </w:footnote>
  <w:footnote w:type="continuationSeparator" w:id="0">
    <w:p w:rsidR="00235350" w:rsidRDefault="0023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4D029B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4D029B" w:rsidRDefault="004D029B">
          <w:pPr>
            <w:pStyle w:val="Balk3"/>
          </w:pPr>
          <w:r>
            <w:t>MERSİN YENİŞEHİR</w:t>
          </w:r>
        </w:p>
        <w:p w:rsidR="004D029B" w:rsidRDefault="004D029B">
          <w:r>
            <w:rPr>
              <w:b/>
              <w:sz w:val="24"/>
            </w:rPr>
            <w:t>BELEDİYE MECLİSİ</w:t>
          </w:r>
        </w:p>
      </w:tc>
    </w:tr>
    <w:tr w:rsidR="004D029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pStyle w:val="Balk2"/>
            <w:rPr>
              <w:b/>
              <w:u w:val="single"/>
            </w:rPr>
          </w:pPr>
        </w:p>
      </w:tc>
    </w:tr>
    <w:tr w:rsidR="004D029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D029B" w:rsidRDefault="004717FF">
          <w:pPr>
            <w:pStyle w:val="Balk2"/>
            <w:jc w:val="left"/>
          </w:pPr>
          <w:r>
            <w:t>49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D029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D029B" w:rsidRDefault="004D029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D029B" w:rsidRDefault="004717FF">
          <w:pPr>
            <w:pStyle w:val="Balk2"/>
            <w:rPr>
              <w:b/>
            </w:rPr>
          </w:pPr>
          <w:proofErr w:type="gramStart"/>
          <w:r>
            <w:rPr>
              <w:b/>
            </w:rPr>
            <w:t>10/05/2019</w:t>
          </w:r>
          <w:proofErr w:type="gramEnd"/>
        </w:p>
      </w:tc>
    </w:tr>
  </w:tbl>
  <w:p w:rsidR="004D029B" w:rsidRDefault="004D029B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615"/>
    <w:multiLevelType w:val="hybridMultilevel"/>
    <w:tmpl w:val="3392EF96"/>
    <w:lvl w:ilvl="0" w:tplc="D26E6C4E">
      <w:start w:val="4"/>
      <w:numFmt w:val="decimal"/>
      <w:lvlText w:val="%1)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E6C1F"/>
    <w:multiLevelType w:val="hybridMultilevel"/>
    <w:tmpl w:val="24A4FBC8"/>
    <w:lvl w:ilvl="0" w:tplc="876E001A">
      <w:start w:val="1"/>
      <w:numFmt w:val="upperLetter"/>
      <w:lvlText w:val="%1)"/>
      <w:lvlJc w:val="left"/>
      <w:pPr>
        <w:tabs>
          <w:tab w:val="num" w:pos="1305"/>
        </w:tabs>
        <w:ind w:left="1305" w:hanging="42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22713"/>
    <w:multiLevelType w:val="hybridMultilevel"/>
    <w:tmpl w:val="CFD23546"/>
    <w:lvl w:ilvl="0" w:tplc="20967242">
      <w:start w:val="3"/>
      <w:numFmt w:val="decimal"/>
      <w:lvlText w:val="%1)"/>
      <w:lvlJc w:val="left"/>
      <w:pPr>
        <w:tabs>
          <w:tab w:val="num" w:pos="1173"/>
        </w:tabs>
        <w:ind w:left="1173" w:hanging="855"/>
      </w:pPr>
      <w:rPr>
        <w:b/>
      </w:rPr>
    </w:lvl>
    <w:lvl w:ilvl="1" w:tplc="48FA3118">
      <w:start w:val="6"/>
      <w:numFmt w:val="bullet"/>
      <w:lvlText w:val="-"/>
      <w:lvlJc w:val="left"/>
      <w:pPr>
        <w:tabs>
          <w:tab w:val="num" w:pos="1398"/>
        </w:tabs>
        <w:ind w:left="1398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B3D"/>
    <w:rsid w:val="00147228"/>
    <w:rsid w:val="001729C1"/>
    <w:rsid w:val="0018511C"/>
    <w:rsid w:val="00213FA8"/>
    <w:rsid w:val="00217BFC"/>
    <w:rsid w:val="00235350"/>
    <w:rsid w:val="002409F1"/>
    <w:rsid w:val="002416D3"/>
    <w:rsid w:val="0027796D"/>
    <w:rsid w:val="00340310"/>
    <w:rsid w:val="004717FF"/>
    <w:rsid w:val="00481B3D"/>
    <w:rsid w:val="004B4B7D"/>
    <w:rsid w:val="004D029B"/>
    <w:rsid w:val="00534478"/>
    <w:rsid w:val="00575CE8"/>
    <w:rsid w:val="00596567"/>
    <w:rsid w:val="006205F8"/>
    <w:rsid w:val="00651D6E"/>
    <w:rsid w:val="00665DF8"/>
    <w:rsid w:val="006A5226"/>
    <w:rsid w:val="006D57E2"/>
    <w:rsid w:val="007E7C3C"/>
    <w:rsid w:val="008135F7"/>
    <w:rsid w:val="008254E6"/>
    <w:rsid w:val="008517C2"/>
    <w:rsid w:val="00867DB5"/>
    <w:rsid w:val="0091581D"/>
    <w:rsid w:val="00940887"/>
    <w:rsid w:val="00A2605A"/>
    <w:rsid w:val="00A713EE"/>
    <w:rsid w:val="00AF5305"/>
    <w:rsid w:val="00B47DA7"/>
    <w:rsid w:val="00B614CB"/>
    <w:rsid w:val="00C263CF"/>
    <w:rsid w:val="00C57D01"/>
    <w:rsid w:val="00C63B2B"/>
    <w:rsid w:val="00C668A5"/>
    <w:rsid w:val="00CD7E0C"/>
    <w:rsid w:val="00CF5BA6"/>
    <w:rsid w:val="00D608AF"/>
    <w:rsid w:val="00DF16C8"/>
    <w:rsid w:val="00E3446B"/>
    <w:rsid w:val="00E36987"/>
    <w:rsid w:val="00EE40FB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3C"/>
  </w:style>
  <w:style w:type="paragraph" w:styleId="Balk1">
    <w:name w:val="heading 1"/>
    <w:basedOn w:val="Normal"/>
    <w:next w:val="Normal"/>
    <w:link w:val="Balk1Char"/>
    <w:qFormat/>
    <w:rsid w:val="007E7C3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E7C3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E7C3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E7C3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E7C3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D57E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384E-5807-4C51-8558-9E63B2B6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Windows User</cp:lastModifiedBy>
  <cp:revision>5</cp:revision>
  <cp:lastPrinted>2019-05-13T13:26:00Z</cp:lastPrinted>
  <dcterms:created xsi:type="dcterms:W3CDTF">2019-05-17T05:49:00Z</dcterms:created>
  <dcterms:modified xsi:type="dcterms:W3CDTF">2019-05-17T06:59:00Z</dcterms:modified>
</cp:coreProperties>
</file>