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0C778C" w:rsidRDefault="00305192" w:rsidP="000C77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Sağlık İşleri Müdürlüğünün 28/02/2020 tarih ve 27333033-940-6288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8254E6" w:rsidRDefault="008254E6">
            <w:pPr>
              <w:rPr>
                <w:sz w:val="24"/>
              </w:rPr>
            </w:pPr>
          </w:p>
          <w:p w:rsidR="000C778C" w:rsidRDefault="000C778C">
            <w:pPr>
              <w:rPr>
                <w:sz w:val="24"/>
              </w:rPr>
            </w:pPr>
          </w:p>
          <w:p w:rsidR="000C778C" w:rsidRDefault="006F2FEE" w:rsidP="000C77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Belediyemiz bünyesinde Sağlık İşleri Müdürlüğüne bağlı hasta nakli ve hizmetleri yönergesi doğrultusunda hizmet vermekte olan Ambulans ile ilgili ücret tarifesi teklifinin </w:t>
            </w:r>
            <w:r w:rsidR="000C778C" w:rsidRPr="000C778C">
              <w:rPr>
                <w:rFonts w:ascii="Arial" w:hAnsi="Arial" w:cs="Arial"/>
                <w:sz w:val="24"/>
              </w:rPr>
              <w:t>Plan ve Bütçe Komisyonu ile Toplumsal Adalet Komisyonuna ortak havale edilmesinin kabulüne oy birliği ile karar verildi.</w:t>
            </w:r>
          </w:p>
          <w:p w:rsidR="00A3138B" w:rsidRDefault="00A3138B" w:rsidP="000C77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9443F7" w:rsidRPr="000C778C" w:rsidRDefault="009443F7" w:rsidP="000C778C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192" w:rsidRDefault="00305192">
            <w:pPr>
              <w:pStyle w:val="Balk1"/>
            </w:pPr>
            <w:r>
              <w:t>MECLİS BAŞKANI</w:t>
            </w:r>
          </w:p>
          <w:p w:rsidR="008254E6" w:rsidRDefault="00305192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192" w:rsidRDefault="00305192">
            <w:pPr>
              <w:pStyle w:val="Balk1"/>
            </w:pPr>
            <w:r>
              <w:t>KATİP</w:t>
            </w:r>
          </w:p>
          <w:p w:rsidR="008254E6" w:rsidRDefault="00305192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305192" w:rsidRDefault="00305192">
            <w:pPr>
              <w:pStyle w:val="Balk1"/>
            </w:pPr>
            <w:r>
              <w:t>KATİP</w:t>
            </w:r>
          </w:p>
          <w:p w:rsidR="008254E6" w:rsidRDefault="00305192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07689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ACD" w:rsidRDefault="00450ACD">
      <w:r>
        <w:separator/>
      </w:r>
    </w:p>
  </w:endnote>
  <w:endnote w:type="continuationSeparator" w:id="1">
    <w:p w:rsidR="00450ACD" w:rsidRDefault="00450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ACD" w:rsidRDefault="00450ACD">
      <w:r>
        <w:separator/>
      </w:r>
    </w:p>
  </w:footnote>
  <w:footnote w:type="continuationSeparator" w:id="1">
    <w:p w:rsidR="00450ACD" w:rsidRDefault="00450A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305192">
          <w:pPr>
            <w:pStyle w:val="Balk2"/>
            <w:jc w:val="left"/>
          </w:pPr>
          <w:r>
            <w:t>59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1164A3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1164A3" w:rsidRDefault="001164A3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1164A3" w:rsidRDefault="001164A3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1164A3" w:rsidRDefault="00305192">
          <w:pPr>
            <w:pStyle w:val="Balk2"/>
            <w:rPr>
              <w:b/>
            </w:rPr>
          </w:pPr>
          <w:r>
            <w:rPr>
              <w:b/>
            </w:rPr>
            <w:t>02/03/2020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proofState w:grammar="clean"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C778C"/>
    <w:rsid w:val="001164A3"/>
    <w:rsid w:val="001D3B45"/>
    <w:rsid w:val="002416D3"/>
    <w:rsid w:val="002934CD"/>
    <w:rsid w:val="00305192"/>
    <w:rsid w:val="00450ACD"/>
    <w:rsid w:val="00481B3D"/>
    <w:rsid w:val="00502D46"/>
    <w:rsid w:val="00534478"/>
    <w:rsid w:val="00575CE8"/>
    <w:rsid w:val="00607689"/>
    <w:rsid w:val="006F2FEE"/>
    <w:rsid w:val="008254E6"/>
    <w:rsid w:val="008517C2"/>
    <w:rsid w:val="008851EB"/>
    <w:rsid w:val="008D51FB"/>
    <w:rsid w:val="009443F7"/>
    <w:rsid w:val="00A3138B"/>
    <w:rsid w:val="00A52876"/>
    <w:rsid w:val="00C63B2B"/>
    <w:rsid w:val="00D67B81"/>
    <w:rsid w:val="00DF16C8"/>
    <w:rsid w:val="00F07203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yazi_meclis_220_2020-03-03_12-29_400177</Template>
  <TotalTime>0</TotalTime>
  <Pages>1</Pages>
  <Words>81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2020-03-04T07:58:00Z</cp:lastPrinted>
  <dcterms:created xsi:type="dcterms:W3CDTF">2020-03-12T07:32:00Z</dcterms:created>
  <dcterms:modified xsi:type="dcterms:W3CDTF">2020-03-12T07:32:00Z</dcterms:modified>
</cp:coreProperties>
</file>