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Pr="001276EB" w:rsidRDefault="00283354" w:rsidP="001276EB">
            <w:pPr>
              <w:ind w:firstLine="885"/>
              <w:jc w:val="both"/>
              <w:rPr>
                <w:rFonts w:ascii="Arial" w:hAnsi="Arial" w:cs="Arial"/>
                <w:sz w:val="22"/>
                <w:szCs w:val="22"/>
              </w:rPr>
            </w:pPr>
            <w:r>
              <w:rPr>
                <w:rFonts w:ascii="Arial" w:hAnsi="Arial" w:cs="Arial"/>
                <w:sz w:val="22"/>
                <w:szCs w:val="22"/>
              </w:rPr>
              <w:t>Belediye Meclisinin 07.02.2022 tarih ve  50 sayılı ara kararı ile Plan ve Bütçe Komisyonuna havale edilen Belediyemize ait iş ve işlemlerin yürütülebilmesi için yurtiçi veya İller Bankasından iç borçlanma yapılabilmesi için Belediye Başkanına yetki verilmesi teklifi ile ilgili 10.02.2022 tarihli  komisyon raporu okunarak görüşmeye geçildi.</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1276EB" w:rsidRDefault="008254E6" w:rsidP="001276EB">
            <w:pPr>
              <w:jc w:val="center"/>
              <w:rPr>
                <w:rFonts w:ascii="Arial" w:hAnsi="Arial" w:cs="Arial"/>
                <w:color w:val="000000"/>
              </w:rPr>
            </w:pPr>
            <w:r>
              <w:rPr>
                <w:b/>
                <w:sz w:val="24"/>
                <w:u w:val="single"/>
              </w:rPr>
              <w:t>KONUNUN GÖRÜŞÜLEREK OYLANMASI SONUCUNDA</w:t>
            </w:r>
          </w:p>
          <w:p w:rsidR="001276EB" w:rsidRPr="001276EB" w:rsidRDefault="001276EB" w:rsidP="001276EB">
            <w:pPr>
              <w:ind w:firstLine="851"/>
              <w:jc w:val="both"/>
              <w:rPr>
                <w:rFonts w:ascii="Arial" w:hAnsi="Arial" w:cs="Arial"/>
                <w:sz w:val="24"/>
                <w:szCs w:val="24"/>
              </w:rPr>
            </w:pPr>
            <w:r w:rsidRPr="001276EB">
              <w:rPr>
                <w:rFonts w:ascii="Arial" w:hAnsi="Arial" w:cs="Arial"/>
                <w:color w:val="000000"/>
                <w:sz w:val="24"/>
                <w:szCs w:val="24"/>
              </w:rPr>
              <w:t>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 maddesi ile diğer yasal düzenlemeler gereği sunmakla yükümlü olduğumuz kamu hizmetlerini sürdürebilmek için oluşabilecek nakit ihtiyacının karşılanabilmesi amacıyla, yurtiçi bankalardan ve/veya İller Bankasından 20.000.000,00 (Yirmimilyon) Türk Lirası’na kadar iç borçlanma yapılabilmesine, borçlanmanın zaman ve şartlarının belirlenmesi ile gerektiği taktirde teminat gösterme veya ipotek verilmesi konusunda da Belediye Başkanına yetki verilmesi ile ilgili</w:t>
            </w:r>
            <w:r w:rsidRPr="001276EB">
              <w:rPr>
                <w:rFonts w:ascii="Arial" w:hAnsi="Arial" w:cs="Arial"/>
                <w:sz w:val="24"/>
                <w:szCs w:val="24"/>
              </w:rPr>
              <w:t xml:space="preserve"> teklif Belediye Meclisinin 07.02.2022 tarih ve 50 sayılı ara kararı ile Plan ve bütçe komisyonuna havale edilmiştir. </w:t>
            </w:r>
          </w:p>
          <w:p w:rsidR="001276EB" w:rsidRPr="001276EB" w:rsidRDefault="001276EB" w:rsidP="001276EB">
            <w:pPr>
              <w:ind w:firstLine="851"/>
              <w:jc w:val="both"/>
              <w:rPr>
                <w:rFonts w:ascii="Arial" w:hAnsi="Arial" w:cs="Arial"/>
                <w:sz w:val="24"/>
                <w:szCs w:val="24"/>
              </w:rPr>
            </w:pPr>
          </w:p>
          <w:p w:rsidR="001276EB" w:rsidRPr="001276EB" w:rsidRDefault="001276EB" w:rsidP="001276EB">
            <w:pPr>
              <w:ind w:firstLine="851"/>
              <w:jc w:val="both"/>
              <w:rPr>
                <w:rFonts w:ascii="Arial" w:hAnsi="Arial" w:cs="Arial"/>
                <w:sz w:val="24"/>
                <w:szCs w:val="24"/>
              </w:rPr>
            </w:pPr>
            <w:r w:rsidRPr="001276EB">
              <w:rPr>
                <w:rFonts w:ascii="Arial" w:hAnsi="Arial" w:cs="Arial"/>
                <w:sz w:val="24"/>
                <w:szCs w:val="24"/>
              </w:rPr>
              <w:t xml:space="preserve">5393 Sayılı Belediye Kanununun Borçlanma başlıklı 68’inci maddesinde; </w:t>
            </w:r>
            <w:r w:rsidRPr="001276EB">
              <w:rPr>
                <w:rFonts w:ascii="Arial" w:hAnsi="Arial" w:cs="Arial"/>
                <w:iCs/>
                <w:sz w:val="24"/>
                <w:szCs w:val="24"/>
              </w:rPr>
              <w:t>“Belediye, görev ve hizmetlerinin gerektirdiği giderleri karşılamak amacıyla aşağıda belirtilen usûl ve esaslara göre borçlanma yapabilir ve tahvil ihraç edebilir:</w:t>
            </w:r>
            <w:r w:rsidRPr="001276EB">
              <w:rPr>
                <w:rFonts w:ascii="Arial" w:hAnsi="Arial" w:cs="Arial"/>
                <w:sz w:val="24"/>
                <w:szCs w:val="24"/>
              </w:rPr>
              <w:t>Yine aynı kanunun; 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p>
          <w:p w:rsidR="001276EB" w:rsidRPr="001276EB" w:rsidRDefault="001276EB" w:rsidP="001276EB">
            <w:pPr>
              <w:ind w:firstLine="851"/>
              <w:jc w:val="both"/>
              <w:rPr>
                <w:rFonts w:ascii="Arial" w:hAnsi="Arial" w:cs="Arial"/>
                <w:sz w:val="24"/>
                <w:szCs w:val="24"/>
              </w:rPr>
            </w:pPr>
          </w:p>
          <w:p w:rsidR="001276EB" w:rsidRPr="001276EB" w:rsidRDefault="001276EB" w:rsidP="001276EB">
            <w:pPr>
              <w:ind w:firstLine="851"/>
              <w:jc w:val="both"/>
              <w:rPr>
                <w:rFonts w:ascii="Arial" w:hAnsi="Arial" w:cs="Arial"/>
              </w:rPr>
            </w:pPr>
            <w:r w:rsidRPr="001276EB">
              <w:rPr>
                <w:rFonts w:ascii="Arial" w:hAnsi="Arial" w:cs="Arial"/>
                <w:sz w:val="24"/>
                <w:szCs w:val="24"/>
              </w:rPr>
              <w:t>Komisyon raporu doğrultusunda; Belediyemiz 5393 Sayılı Belediye Kanununun 18. Maddesi (d) bendi ile 68. maddesinde yer alan koşulların yerine getirilmesi kaydıyla yurtiçi bankalardan ve/veya İller Bankası A.Ş’den aşağıdaki tabloda hesaplanan 20.000.000,00 (yirmimilyon) Türk Lirasına kadar iç borçlanma yapılabilmesine, borçlanmanın zaman ve şartlarının belirlenmesi ile gerektiği taktirde teminat mektubu vermeye ve almaya, borçlanmanın teminatını teşkil etmek üzere temlik vermeye kurum, kuruluşlar ile bankalar nezdinde her türlü işlemlerin yapılabilmesi için protokol yapmaya, teminat/ipotek vermeye Belediye Başkanı Abdullah ÖZYİĞİT’in yetkili kılınmasının kabulüne, Abdurrahman YILDIZ’ın ret oyuna karşın oy çokluğu ile karar verildi</w:t>
            </w:r>
            <w:r w:rsidRPr="001276EB">
              <w:rPr>
                <w:rFonts w:ascii="Arial" w:hAnsi="Arial" w:cs="Arial"/>
              </w:rPr>
              <w:t>.</w:t>
            </w:r>
            <w:r w:rsidRPr="001276EB">
              <w:rPr>
                <w:rFonts w:ascii="Arial" w:hAnsi="Arial" w:cs="Arial"/>
                <w:color w:val="76923C"/>
              </w:rPr>
              <w:t xml:space="preserve"> </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0"/>
              <w:gridCol w:w="1629"/>
              <w:gridCol w:w="1630"/>
              <w:gridCol w:w="1630"/>
              <w:gridCol w:w="1630"/>
              <w:gridCol w:w="1804"/>
            </w:tblGrid>
            <w:tr w:rsidR="001276EB" w:rsidTr="001276EB">
              <w:tc>
                <w:tcPr>
                  <w:tcW w:w="1600"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b/>
                      <w:sz w:val="10"/>
                      <w:szCs w:val="10"/>
                    </w:rPr>
                  </w:pPr>
                </w:p>
                <w:p w:rsidR="001276EB" w:rsidRDefault="001276EB">
                  <w:pPr>
                    <w:jc w:val="both"/>
                    <w:rPr>
                      <w:rFonts w:ascii="Arial" w:hAnsi="Arial" w:cs="Arial"/>
                      <w:b/>
                    </w:rPr>
                  </w:pPr>
                  <w:r>
                    <w:rPr>
                      <w:rFonts w:ascii="Arial" w:hAnsi="Arial" w:cs="Arial"/>
                      <w:b/>
                    </w:rPr>
                    <w:t>Gelir Kesin Hesap Net</w:t>
                  </w:r>
                </w:p>
              </w:tc>
              <w:tc>
                <w:tcPr>
                  <w:tcW w:w="1629"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b/>
                    </w:rPr>
                  </w:pPr>
                </w:p>
                <w:p w:rsidR="001276EB" w:rsidRDefault="001276EB">
                  <w:pPr>
                    <w:jc w:val="both"/>
                    <w:rPr>
                      <w:rFonts w:ascii="Arial" w:hAnsi="Arial" w:cs="Arial"/>
                      <w:b/>
                    </w:rPr>
                  </w:pPr>
                  <w:r>
                    <w:rPr>
                      <w:rFonts w:ascii="Arial" w:hAnsi="Arial" w:cs="Arial"/>
                      <w:b/>
                    </w:rPr>
                    <w:t>Gerçekleşme</w:t>
                  </w:r>
                </w:p>
              </w:tc>
              <w:tc>
                <w:tcPr>
                  <w:tcW w:w="1630" w:type="dxa"/>
                  <w:tcBorders>
                    <w:top w:val="single" w:sz="4" w:space="0" w:color="000000"/>
                    <w:left w:val="single" w:sz="4" w:space="0" w:color="000000"/>
                    <w:bottom w:val="single" w:sz="4" w:space="0" w:color="000000"/>
                    <w:right w:val="single" w:sz="4" w:space="0" w:color="000000"/>
                  </w:tcBorders>
                  <w:hideMark/>
                </w:tcPr>
                <w:p w:rsidR="001276EB" w:rsidRDefault="001276EB">
                  <w:pPr>
                    <w:ind w:left="144" w:hanging="144"/>
                    <w:jc w:val="both"/>
                    <w:rPr>
                      <w:rFonts w:ascii="Arial" w:hAnsi="Arial" w:cs="Arial"/>
                      <w:b/>
                    </w:rPr>
                  </w:pPr>
                  <w:r>
                    <w:rPr>
                      <w:rFonts w:ascii="Arial" w:hAnsi="Arial" w:cs="Arial"/>
                      <w:b/>
                    </w:rPr>
                    <w:t xml:space="preserve">2022 Yeniden Değerleme   </w:t>
                  </w:r>
                </w:p>
                <w:p w:rsidR="001276EB" w:rsidRDefault="001276EB">
                  <w:pPr>
                    <w:ind w:left="144" w:hanging="144"/>
                    <w:jc w:val="both"/>
                    <w:rPr>
                      <w:rFonts w:ascii="Arial" w:hAnsi="Arial" w:cs="Arial"/>
                    </w:rPr>
                  </w:pPr>
                  <w:r>
                    <w:rPr>
                      <w:rFonts w:ascii="Arial" w:hAnsi="Arial" w:cs="Arial"/>
                      <w:b/>
                    </w:rPr>
                    <w:t xml:space="preserve">      Oranı</w:t>
                  </w:r>
                </w:p>
              </w:tc>
              <w:tc>
                <w:tcPr>
                  <w:tcW w:w="1630" w:type="dxa"/>
                  <w:tcBorders>
                    <w:top w:val="single" w:sz="4" w:space="0" w:color="000000"/>
                    <w:left w:val="single" w:sz="4" w:space="0" w:color="000000"/>
                    <w:bottom w:val="single" w:sz="4" w:space="0" w:color="000000"/>
                    <w:right w:val="single" w:sz="4" w:space="0" w:color="000000"/>
                  </w:tcBorders>
                  <w:hideMark/>
                </w:tcPr>
                <w:p w:rsidR="001276EB" w:rsidRDefault="001276EB">
                  <w:pPr>
                    <w:jc w:val="both"/>
                    <w:rPr>
                      <w:rFonts w:ascii="Arial" w:hAnsi="Arial" w:cs="Arial"/>
                      <w:b/>
                    </w:rPr>
                  </w:pPr>
                  <w:r>
                    <w:rPr>
                      <w:rFonts w:ascii="Arial" w:hAnsi="Arial" w:cs="Arial"/>
                      <w:b/>
                    </w:rPr>
                    <w:t xml:space="preserve"> Değerleme</w:t>
                  </w:r>
                </w:p>
                <w:p w:rsidR="001276EB" w:rsidRDefault="001276EB">
                  <w:pPr>
                    <w:jc w:val="both"/>
                    <w:rPr>
                      <w:rFonts w:ascii="Arial" w:hAnsi="Arial" w:cs="Arial"/>
                      <w:b/>
                    </w:rPr>
                  </w:pPr>
                  <w:r>
                    <w:rPr>
                      <w:rFonts w:ascii="Arial" w:hAnsi="Arial" w:cs="Arial"/>
                      <w:b/>
                    </w:rPr>
                    <w:t xml:space="preserve">   Sonucu</w:t>
                  </w:r>
                </w:p>
                <w:p w:rsidR="001276EB" w:rsidRDefault="001276EB">
                  <w:pPr>
                    <w:jc w:val="both"/>
                    <w:rPr>
                      <w:rFonts w:ascii="Arial" w:hAnsi="Arial" w:cs="Arial"/>
                      <w:b/>
                    </w:rPr>
                  </w:pPr>
                  <w:r>
                    <w:rPr>
                      <w:rFonts w:ascii="Arial" w:hAnsi="Arial" w:cs="Arial"/>
                      <w:b/>
                    </w:rPr>
                    <w:t>Oluşan Gelir</w:t>
                  </w:r>
                </w:p>
              </w:tc>
              <w:tc>
                <w:tcPr>
                  <w:tcW w:w="1630"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b/>
                      <w:sz w:val="10"/>
                      <w:szCs w:val="10"/>
                    </w:rPr>
                  </w:pPr>
                </w:p>
                <w:p w:rsidR="001276EB" w:rsidRDefault="001276EB">
                  <w:pPr>
                    <w:jc w:val="both"/>
                    <w:rPr>
                      <w:rFonts w:ascii="Arial" w:hAnsi="Arial" w:cs="Arial"/>
                      <w:b/>
                    </w:rPr>
                  </w:pPr>
                  <w:r>
                    <w:rPr>
                      <w:rFonts w:ascii="Arial" w:hAnsi="Arial" w:cs="Arial"/>
                      <w:b/>
                    </w:rPr>
                    <w:t>Gelirin</w:t>
                  </w:r>
                </w:p>
                <w:p w:rsidR="001276EB" w:rsidRDefault="001276EB">
                  <w:pPr>
                    <w:jc w:val="both"/>
                    <w:rPr>
                      <w:rFonts w:ascii="Arial" w:hAnsi="Arial" w:cs="Arial"/>
                      <w:b/>
                    </w:rPr>
                  </w:pPr>
                  <w:r>
                    <w:rPr>
                      <w:rFonts w:ascii="Arial" w:hAnsi="Arial" w:cs="Arial"/>
                      <w:b/>
                    </w:rPr>
                    <w:t>Yüzde 10</w:t>
                  </w:r>
                </w:p>
              </w:tc>
              <w:tc>
                <w:tcPr>
                  <w:tcW w:w="1804"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sz w:val="10"/>
                      <w:szCs w:val="10"/>
                    </w:rPr>
                  </w:pPr>
                </w:p>
                <w:p w:rsidR="001276EB" w:rsidRDefault="001276EB">
                  <w:pPr>
                    <w:jc w:val="both"/>
                    <w:rPr>
                      <w:rFonts w:ascii="Arial" w:hAnsi="Arial" w:cs="Arial"/>
                      <w:b/>
                    </w:rPr>
                  </w:pPr>
                  <w:r>
                    <w:rPr>
                      <w:rFonts w:ascii="Arial" w:hAnsi="Arial" w:cs="Arial"/>
                      <w:b/>
                    </w:rPr>
                    <w:t>Borçlanma Limiti</w:t>
                  </w:r>
                </w:p>
              </w:tc>
            </w:tr>
            <w:tr w:rsidR="001276EB" w:rsidTr="001276EB">
              <w:trPr>
                <w:trHeight w:val="543"/>
              </w:trPr>
              <w:tc>
                <w:tcPr>
                  <w:tcW w:w="1600"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sz w:val="10"/>
                      <w:szCs w:val="10"/>
                    </w:rPr>
                  </w:pPr>
                </w:p>
                <w:p w:rsidR="001276EB" w:rsidRDefault="001276EB">
                  <w:pPr>
                    <w:jc w:val="both"/>
                    <w:rPr>
                      <w:rFonts w:ascii="Arial" w:hAnsi="Arial" w:cs="Arial"/>
                    </w:rPr>
                  </w:pPr>
                  <w:r>
                    <w:rPr>
                      <w:rFonts w:ascii="Arial" w:hAnsi="Arial" w:cs="Arial"/>
                    </w:rPr>
                    <w:t xml:space="preserve">     2020</w:t>
                  </w:r>
                </w:p>
              </w:tc>
              <w:tc>
                <w:tcPr>
                  <w:tcW w:w="1629"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sz w:val="10"/>
                      <w:szCs w:val="10"/>
                    </w:rPr>
                  </w:pPr>
                </w:p>
                <w:p w:rsidR="001276EB" w:rsidRDefault="001276EB">
                  <w:pPr>
                    <w:jc w:val="both"/>
                    <w:rPr>
                      <w:rFonts w:ascii="Arial" w:hAnsi="Arial" w:cs="Arial"/>
                    </w:rPr>
                  </w:pPr>
                  <w:r>
                    <w:rPr>
                      <w:rFonts w:ascii="Arial" w:hAnsi="Arial" w:cs="Arial"/>
                    </w:rPr>
                    <w:t>148.302.391,31</w:t>
                  </w:r>
                </w:p>
              </w:tc>
              <w:tc>
                <w:tcPr>
                  <w:tcW w:w="1630"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sz w:val="10"/>
                      <w:szCs w:val="10"/>
                    </w:rPr>
                  </w:pPr>
                </w:p>
                <w:p w:rsidR="001276EB" w:rsidRDefault="001276EB">
                  <w:pPr>
                    <w:jc w:val="both"/>
                    <w:rPr>
                      <w:rFonts w:ascii="Arial" w:hAnsi="Arial" w:cs="Arial"/>
                    </w:rPr>
                  </w:pPr>
                  <w:r>
                    <w:rPr>
                      <w:rFonts w:ascii="Arial" w:hAnsi="Arial" w:cs="Arial"/>
                    </w:rPr>
                    <w:t xml:space="preserve">      36,20%</w:t>
                  </w:r>
                </w:p>
              </w:tc>
              <w:tc>
                <w:tcPr>
                  <w:tcW w:w="1630"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sz w:val="10"/>
                      <w:szCs w:val="10"/>
                    </w:rPr>
                  </w:pPr>
                </w:p>
                <w:p w:rsidR="001276EB" w:rsidRDefault="001276EB">
                  <w:pPr>
                    <w:jc w:val="both"/>
                    <w:rPr>
                      <w:rFonts w:ascii="Arial" w:hAnsi="Arial" w:cs="Arial"/>
                    </w:rPr>
                  </w:pPr>
                  <w:r>
                    <w:rPr>
                      <w:rFonts w:ascii="Arial" w:hAnsi="Arial" w:cs="Arial"/>
                    </w:rPr>
                    <w:t>201.987.856,96</w:t>
                  </w:r>
                </w:p>
              </w:tc>
              <w:tc>
                <w:tcPr>
                  <w:tcW w:w="1630"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sz w:val="10"/>
                      <w:szCs w:val="10"/>
                    </w:rPr>
                  </w:pPr>
                </w:p>
                <w:p w:rsidR="001276EB" w:rsidRDefault="001276EB">
                  <w:pPr>
                    <w:jc w:val="both"/>
                    <w:rPr>
                      <w:rFonts w:ascii="Arial" w:hAnsi="Arial" w:cs="Arial"/>
                    </w:rPr>
                  </w:pPr>
                  <w:r>
                    <w:rPr>
                      <w:rFonts w:ascii="Arial" w:hAnsi="Arial" w:cs="Arial"/>
                    </w:rPr>
                    <w:t>20.198.785,69</w:t>
                  </w:r>
                </w:p>
              </w:tc>
              <w:tc>
                <w:tcPr>
                  <w:tcW w:w="1804" w:type="dxa"/>
                  <w:tcBorders>
                    <w:top w:val="single" w:sz="4" w:space="0" w:color="000000"/>
                    <w:left w:val="single" w:sz="4" w:space="0" w:color="000000"/>
                    <w:bottom w:val="single" w:sz="4" w:space="0" w:color="000000"/>
                    <w:right w:val="single" w:sz="4" w:space="0" w:color="000000"/>
                  </w:tcBorders>
                </w:tcPr>
                <w:p w:rsidR="001276EB" w:rsidRDefault="001276EB">
                  <w:pPr>
                    <w:jc w:val="both"/>
                    <w:rPr>
                      <w:rFonts w:ascii="Arial" w:hAnsi="Arial" w:cs="Arial"/>
                      <w:sz w:val="10"/>
                      <w:szCs w:val="10"/>
                    </w:rPr>
                  </w:pPr>
                </w:p>
                <w:p w:rsidR="001276EB" w:rsidRDefault="001276EB">
                  <w:pPr>
                    <w:jc w:val="both"/>
                    <w:rPr>
                      <w:rFonts w:ascii="Arial" w:hAnsi="Arial" w:cs="Arial"/>
                    </w:rPr>
                  </w:pPr>
                  <w:r>
                    <w:rPr>
                      <w:rFonts w:ascii="Arial" w:hAnsi="Arial" w:cs="Arial"/>
                    </w:rPr>
                    <w:t>20.000.000,00</w:t>
                  </w:r>
                </w:p>
              </w:tc>
            </w:tr>
          </w:tbl>
          <w:p w:rsidR="008254E6" w:rsidRDefault="008254E6">
            <w:pPr>
              <w:rPr>
                <w:sz w:val="24"/>
              </w:rPr>
            </w:pPr>
          </w:p>
        </w:tc>
      </w:tr>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Default="001276EB">
            <w:pPr>
              <w:pStyle w:val="Balk1"/>
            </w:pPr>
            <w:r>
              <w:lastRenderedPageBreak/>
              <w:t>MECLİS 1. BAŞKAN V.</w:t>
            </w:r>
          </w:p>
          <w:p w:rsidR="001276EB" w:rsidRPr="001276EB" w:rsidRDefault="001276EB" w:rsidP="001276EB">
            <w:pPr>
              <w:jc w:val="center"/>
              <w:rPr>
                <w:b/>
              </w:rPr>
            </w:pPr>
            <w:r w:rsidRPr="001276EB">
              <w:rPr>
                <w:b/>
                <w:sz w:val="24"/>
                <w:szCs w:val="24"/>
              </w:rPr>
              <w:t>Hasan</w:t>
            </w:r>
            <w:r>
              <w:rPr>
                <w:b/>
                <w:sz w:val="24"/>
                <w:szCs w:val="24"/>
              </w:rPr>
              <w:t xml:space="preserve"> ÖZCAN</w:t>
            </w:r>
            <w:r w:rsidRPr="001276EB">
              <w:rPr>
                <w:b/>
                <w:sz w:val="24"/>
                <w:szCs w:val="24"/>
              </w:rPr>
              <w:t xml:space="preserve"> </w:t>
            </w:r>
          </w:p>
        </w:tc>
        <w:tc>
          <w:tcPr>
            <w:tcW w:w="3402" w:type="dxa"/>
            <w:tcBorders>
              <w:top w:val="nil"/>
              <w:left w:val="nil"/>
              <w:bottom w:val="nil"/>
              <w:right w:val="nil"/>
            </w:tcBorders>
          </w:tcPr>
          <w:p w:rsidR="008254E6" w:rsidRDefault="001276EB">
            <w:pPr>
              <w:pStyle w:val="Balk1"/>
            </w:pPr>
            <w:r>
              <w:t>KATİP</w:t>
            </w:r>
          </w:p>
          <w:p w:rsidR="001276EB" w:rsidRPr="001276EB" w:rsidRDefault="001276EB" w:rsidP="001276EB">
            <w:pPr>
              <w:jc w:val="center"/>
              <w:rPr>
                <w:b/>
                <w:sz w:val="24"/>
                <w:szCs w:val="24"/>
              </w:rPr>
            </w:pPr>
            <w:r w:rsidRPr="001276EB">
              <w:rPr>
                <w:b/>
                <w:sz w:val="24"/>
                <w:szCs w:val="24"/>
              </w:rPr>
              <w:t>Sevgi UĞURLU</w:t>
            </w:r>
          </w:p>
        </w:tc>
        <w:tc>
          <w:tcPr>
            <w:tcW w:w="3402" w:type="dxa"/>
            <w:tcBorders>
              <w:top w:val="nil"/>
              <w:left w:val="nil"/>
              <w:bottom w:val="nil"/>
              <w:right w:val="nil"/>
            </w:tcBorders>
          </w:tcPr>
          <w:p w:rsidR="008254E6" w:rsidRDefault="001276EB">
            <w:pPr>
              <w:pStyle w:val="Balk1"/>
            </w:pPr>
            <w:r>
              <w:t>KATİP</w:t>
            </w:r>
          </w:p>
          <w:p w:rsidR="001276EB" w:rsidRPr="001276EB" w:rsidRDefault="001276EB" w:rsidP="001276EB">
            <w:pPr>
              <w:jc w:val="center"/>
              <w:rPr>
                <w:b/>
                <w:sz w:val="24"/>
                <w:szCs w:val="24"/>
              </w:rPr>
            </w:pPr>
            <w:r w:rsidRPr="001276EB">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Default="00481B3D" w:rsidP="001276EB">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276EB">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1276EB">
              <w:rPr>
                <w:rFonts w:ascii="Arial" w:hAnsi="Arial" w:cs="Arial"/>
                <w:sz w:val="18"/>
                <w:szCs w:val="18"/>
              </w:rPr>
              <w:t>22</w:t>
            </w:r>
          </w:p>
          <w:p w:rsidR="001276EB" w:rsidRPr="00E35B8E" w:rsidRDefault="001276EB" w:rsidP="001276EB">
            <w:pPr>
              <w:tabs>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276EB">
              <w:rPr>
                <w:rFonts w:ascii="Arial" w:hAnsi="Arial" w:cs="Arial"/>
                <w:sz w:val="18"/>
                <w:szCs w:val="18"/>
              </w:rPr>
              <w:t>Sevgi UĞURLU</w:t>
            </w:r>
          </w:p>
          <w:p w:rsidR="00481B3D" w:rsidRDefault="00481B3D" w:rsidP="001276EB">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w:t>
            </w:r>
            <w:r w:rsidR="001276EB">
              <w:rPr>
                <w:rFonts w:ascii="Arial" w:hAnsi="Arial" w:cs="Arial"/>
                <w:sz w:val="18"/>
                <w:szCs w:val="18"/>
              </w:rPr>
              <w:t xml:space="preserve"> V.</w:t>
            </w:r>
          </w:p>
          <w:p w:rsidR="001276EB" w:rsidRPr="00481B3D" w:rsidRDefault="001276EB" w:rsidP="001276E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C7" w:rsidRDefault="006A77C7">
      <w:r>
        <w:separator/>
      </w:r>
    </w:p>
  </w:endnote>
  <w:endnote w:type="continuationSeparator" w:id="1">
    <w:p w:rsidR="006A77C7" w:rsidRDefault="006A7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C7" w:rsidRDefault="006A77C7">
      <w:r>
        <w:separator/>
      </w:r>
    </w:p>
  </w:footnote>
  <w:footnote w:type="continuationSeparator" w:id="1">
    <w:p w:rsidR="006A77C7" w:rsidRDefault="006A7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83354">
          <w:pPr>
            <w:pStyle w:val="Balk2"/>
            <w:jc w:val="left"/>
          </w:pPr>
          <w:r>
            <w:t>67</w:t>
          </w:r>
        </w:p>
      </w:tc>
      <w:tc>
        <w:tcPr>
          <w:tcW w:w="4404" w:type="dxa"/>
          <w:tcBorders>
            <w:top w:val="nil"/>
            <w:left w:val="nil"/>
            <w:bottom w:val="nil"/>
            <w:right w:val="nil"/>
          </w:tcBorders>
        </w:tcPr>
        <w:p w:rsidR="008254E6" w:rsidRDefault="008254E6">
          <w:pPr>
            <w:pStyle w:val="Balk2"/>
            <w:rPr>
              <w:b/>
            </w:rPr>
          </w:pPr>
          <w:r>
            <w:rPr>
              <w:b/>
            </w:rPr>
            <w:t>MERSİN</w:t>
          </w:r>
        </w:p>
      </w:tc>
    </w:tr>
    <w:tr w:rsidR="001276EB">
      <w:tblPrEx>
        <w:tblCellMar>
          <w:top w:w="0" w:type="dxa"/>
          <w:bottom w:w="0" w:type="dxa"/>
        </w:tblCellMar>
      </w:tblPrEx>
      <w:trPr>
        <w:cantSplit/>
      </w:trPr>
      <w:tc>
        <w:tcPr>
          <w:tcW w:w="942" w:type="dxa"/>
          <w:tcBorders>
            <w:top w:val="nil"/>
            <w:left w:val="nil"/>
            <w:bottom w:val="nil"/>
            <w:right w:val="nil"/>
          </w:tcBorders>
        </w:tcPr>
        <w:p w:rsidR="001276EB" w:rsidRDefault="001276EB">
          <w:pPr>
            <w:rPr>
              <w:b/>
              <w:sz w:val="24"/>
            </w:rPr>
          </w:pPr>
        </w:p>
      </w:tc>
      <w:tc>
        <w:tcPr>
          <w:tcW w:w="4860" w:type="dxa"/>
          <w:tcBorders>
            <w:top w:val="nil"/>
            <w:left w:val="nil"/>
            <w:bottom w:val="nil"/>
            <w:right w:val="nil"/>
          </w:tcBorders>
        </w:tcPr>
        <w:p w:rsidR="001276EB" w:rsidRDefault="001276EB">
          <w:pPr>
            <w:pStyle w:val="Balk2"/>
            <w:jc w:val="left"/>
          </w:pPr>
        </w:p>
      </w:tc>
      <w:tc>
        <w:tcPr>
          <w:tcW w:w="4404" w:type="dxa"/>
          <w:tcBorders>
            <w:top w:val="nil"/>
            <w:left w:val="nil"/>
            <w:bottom w:val="nil"/>
            <w:right w:val="nil"/>
          </w:tcBorders>
        </w:tcPr>
        <w:p w:rsidR="001276EB" w:rsidRDefault="00283354">
          <w:pPr>
            <w:pStyle w:val="Balk2"/>
            <w:rPr>
              <w:b/>
            </w:rPr>
          </w:pPr>
          <w:r>
            <w:rPr>
              <w:b/>
            </w:rPr>
            <w:t>11/02/2022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A77C7"/>
    <w:rsid w:val="001276EB"/>
    <w:rsid w:val="002416D3"/>
    <w:rsid w:val="00283354"/>
    <w:rsid w:val="00343663"/>
    <w:rsid w:val="00481B3D"/>
    <w:rsid w:val="00534478"/>
    <w:rsid w:val="00575CE8"/>
    <w:rsid w:val="005E4974"/>
    <w:rsid w:val="006A77C7"/>
    <w:rsid w:val="006D5663"/>
    <w:rsid w:val="008254E6"/>
    <w:rsid w:val="008517C2"/>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482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67%20Say&#305;l&#305;%20Meclis%20Karar&#305;%20(Bor&#231;lanma).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 Sayılı Meclis Kararı (Borçlanma).dot</Template>
  <TotalTime>0</TotalTime>
  <Pages>2</Pages>
  <Words>600</Words>
  <Characters>3425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2022-02-15T13:17:00Z</cp:lastPrinted>
  <dcterms:created xsi:type="dcterms:W3CDTF">2022-02-18T07:36:00Z</dcterms:created>
  <dcterms:modified xsi:type="dcterms:W3CDTF">2022-02-18T07:36:00Z</dcterms:modified>
</cp:coreProperties>
</file>