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69439A" w:rsidRDefault="00CD6F44" w:rsidP="0069439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Belediye Başkanının önerisi doğrultusunda oy birliği ile gündeme alınan Yenişehir Belediyesi Mustafa Baysan Yüksek Öğretim Erkek Öğrenci Yurdu Ücret Tarifesi ile  ilgili   Kütüphane Müdürlüğünün 23.03.2022 tarih ve E-45855719-105.04-40213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C373B" w:rsidRDefault="007C373B">
            <w:pPr>
              <w:jc w:val="center"/>
              <w:rPr>
                <w:b/>
                <w:sz w:val="24"/>
                <w:u w:val="single"/>
              </w:rPr>
            </w:pPr>
          </w:p>
          <w:p w:rsidR="008254E6" w:rsidRPr="004F27F8" w:rsidRDefault="007C373B" w:rsidP="004F27F8">
            <w:pPr>
              <w:ind w:firstLine="885"/>
              <w:jc w:val="both"/>
              <w:rPr>
                <w:rFonts w:ascii="Verdana" w:hAnsi="Verdana"/>
                <w:sz w:val="24"/>
                <w:szCs w:val="24"/>
              </w:rPr>
            </w:pPr>
            <w:r w:rsidRPr="004F27F8">
              <w:rPr>
                <w:rFonts w:ascii="Verdana" w:hAnsi="Verdana"/>
                <w:sz w:val="24"/>
                <w:szCs w:val="24"/>
              </w:rPr>
              <w:t>Belediyemiz bünyesinde bulunan iş ve işlemler hususunda İl Gençlik ve Spor Müdürlüğüne bağlı Mustafa Baysan Yüks</w:t>
            </w:r>
            <w:r w:rsidR="004F27F8" w:rsidRPr="004F27F8">
              <w:rPr>
                <w:rFonts w:ascii="Verdana" w:hAnsi="Verdana"/>
                <w:sz w:val="24"/>
                <w:szCs w:val="24"/>
              </w:rPr>
              <w:t>ek Öğrenim Erkek Öğren</w:t>
            </w:r>
            <w:r w:rsidR="00B1549D">
              <w:rPr>
                <w:rFonts w:ascii="Verdana" w:hAnsi="Verdana"/>
                <w:sz w:val="24"/>
                <w:szCs w:val="24"/>
              </w:rPr>
              <w:t>ci Y</w:t>
            </w:r>
            <w:r w:rsidR="004F27F8" w:rsidRPr="004F27F8">
              <w:rPr>
                <w:rFonts w:ascii="Verdana" w:hAnsi="Verdana"/>
                <w:sz w:val="24"/>
                <w:szCs w:val="24"/>
              </w:rPr>
              <w:t xml:space="preserve">urdunun </w:t>
            </w:r>
            <w:r w:rsidRPr="004F27F8">
              <w:rPr>
                <w:rFonts w:ascii="Verdana" w:hAnsi="Verdana"/>
                <w:sz w:val="24"/>
                <w:szCs w:val="24"/>
              </w:rPr>
              <w:t xml:space="preserve">2022-2023 </w:t>
            </w:r>
            <w:r w:rsidR="004F27F8" w:rsidRPr="004F27F8">
              <w:rPr>
                <w:rFonts w:ascii="Verdana" w:hAnsi="Verdana"/>
                <w:sz w:val="24"/>
                <w:szCs w:val="24"/>
              </w:rPr>
              <w:t xml:space="preserve">Yılı </w:t>
            </w:r>
            <w:r w:rsidRPr="004F27F8">
              <w:rPr>
                <w:rFonts w:ascii="Verdana" w:hAnsi="Verdana"/>
                <w:sz w:val="24"/>
                <w:szCs w:val="24"/>
              </w:rPr>
              <w:t>eğitim ö</w:t>
            </w:r>
            <w:r w:rsidR="004F27F8" w:rsidRPr="004F27F8">
              <w:rPr>
                <w:rFonts w:ascii="Verdana" w:hAnsi="Verdana"/>
                <w:sz w:val="24"/>
                <w:szCs w:val="24"/>
              </w:rPr>
              <w:t>ğretim dönemi yurt ücretlerinin tespit edilmesi ile ilgili teklifin Plan ve Bütçe Komisyonu ile Eğitim, Bilişim, Gençlik ve Spor Komisyonuna ortak havale edilmesinin kabulüne oy birliği ile karar verildi.</w:t>
            </w:r>
          </w:p>
          <w:p w:rsidR="004F27F8" w:rsidRPr="004F27F8" w:rsidRDefault="004F27F8" w:rsidP="004F27F8">
            <w:pPr>
              <w:ind w:firstLine="885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4F27F8" w:rsidRDefault="004F27F8" w:rsidP="004F27F8">
            <w:pPr>
              <w:ind w:firstLine="88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F27F8" w:rsidRDefault="004F27F8" w:rsidP="004F27F8">
            <w:pPr>
              <w:ind w:firstLine="88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F27F8" w:rsidRDefault="004F27F8" w:rsidP="004F27F8">
            <w:pPr>
              <w:ind w:firstLine="885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F27F8" w:rsidRDefault="004F27F8" w:rsidP="004F27F8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4F27F8" w:rsidRDefault="004F27F8">
            <w:pPr>
              <w:pStyle w:val="Balk1"/>
              <w:rPr>
                <w:szCs w:val="24"/>
              </w:rPr>
            </w:pPr>
            <w:r w:rsidRPr="004F27F8">
              <w:rPr>
                <w:szCs w:val="24"/>
              </w:rPr>
              <w:t>MECLİS BAŞKANI</w:t>
            </w:r>
          </w:p>
          <w:p w:rsidR="004F27F8" w:rsidRPr="004F27F8" w:rsidRDefault="004F27F8" w:rsidP="004F27F8">
            <w:pPr>
              <w:jc w:val="center"/>
            </w:pPr>
            <w:r w:rsidRPr="004F27F8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4F27F8" w:rsidRDefault="004F27F8">
            <w:pPr>
              <w:pStyle w:val="Balk1"/>
              <w:rPr>
                <w:szCs w:val="24"/>
              </w:rPr>
            </w:pPr>
            <w:r w:rsidRPr="004F27F8">
              <w:rPr>
                <w:szCs w:val="24"/>
              </w:rPr>
              <w:t>KATİP</w:t>
            </w:r>
          </w:p>
          <w:p w:rsidR="004F27F8" w:rsidRPr="004F27F8" w:rsidRDefault="004F27F8" w:rsidP="004F27F8">
            <w:pPr>
              <w:jc w:val="center"/>
              <w:rPr>
                <w:b/>
                <w:sz w:val="24"/>
                <w:szCs w:val="24"/>
              </w:rPr>
            </w:pPr>
            <w:r w:rsidRPr="004F27F8"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4F27F8" w:rsidRDefault="004F27F8">
            <w:pPr>
              <w:pStyle w:val="Balk1"/>
              <w:rPr>
                <w:szCs w:val="24"/>
              </w:rPr>
            </w:pPr>
            <w:r w:rsidRPr="004F27F8">
              <w:rPr>
                <w:szCs w:val="24"/>
              </w:rPr>
              <w:t>KATİP</w:t>
            </w:r>
          </w:p>
          <w:p w:rsidR="004F27F8" w:rsidRPr="004F27F8" w:rsidRDefault="004F27F8" w:rsidP="004F27F8">
            <w:pPr>
              <w:jc w:val="center"/>
              <w:rPr>
                <w:b/>
                <w:sz w:val="24"/>
                <w:szCs w:val="24"/>
              </w:rPr>
            </w:pPr>
            <w:r w:rsidRPr="004F27F8">
              <w:rPr>
                <w:b/>
                <w:sz w:val="24"/>
                <w:szCs w:val="24"/>
              </w:rPr>
              <w:t>Harun GÖKALP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481B3D" w:rsidRDefault="00481B3D" w:rsidP="004F27F8">
            <w:pPr>
              <w:tabs>
                <w:tab w:val="left" w:pos="4536"/>
              </w:tabs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78" w:rsidRDefault="000A2D78">
      <w:r>
        <w:separator/>
      </w:r>
    </w:p>
  </w:endnote>
  <w:endnote w:type="continuationSeparator" w:id="1">
    <w:p w:rsidR="000A2D78" w:rsidRDefault="000A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78" w:rsidRDefault="000A2D78">
      <w:r>
        <w:separator/>
      </w:r>
    </w:p>
  </w:footnote>
  <w:footnote w:type="continuationSeparator" w:id="1">
    <w:p w:rsidR="000A2D78" w:rsidRDefault="000A2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CD6F44">
          <w:pPr>
            <w:pStyle w:val="Balk2"/>
            <w:jc w:val="left"/>
          </w:pPr>
          <w:r>
            <w:t>100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FF7F32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FF7F32" w:rsidRDefault="00FF7F32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FF7F32" w:rsidRDefault="00FF7F32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FF7F32" w:rsidRDefault="00CD6F44">
          <w:pPr>
            <w:pStyle w:val="Balk2"/>
            <w:rPr>
              <w:b/>
            </w:rPr>
          </w:pPr>
          <w:r>
            <w:rPr>
              <w:b/>
            </w:rPr>
            <w:t>04/04/2022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A2D78"/>
    <w:rsid w:val="002416D3"/>
    <w:rsid w:val="00305649"/>
    <w:rsid w:val="00481B3D"/>
    <w:rsid w:val="004F27F8"/>
    <w:rsid w:val="00504F82"/>
    <w:rsid w:val="00534478"/>
    <w:rsid w:val="00556C5A"/>
    <w:rsid w:val="00575CE8"/>
    <w:rsid w:val="0069439A"/>
    <w:rsid w:val="006A11F2"/>
    <w:rsid w:val="007A43F5"/>
    <w:rsid w:val="007C373B"/>
    <w:rsid w:val="008254E6"/>
    <w:rsid w:val="008517C2"/>
    <w:rsid w:val="00B1549D"/>
    <w:rsid w:val="00C63B2B"/>
    <w:rsid w:val="00CD6F44"/>
    <w:rsid w:val="00DB69AC"/>
    <w:rsid w:val="00DF16C8"/>
    <w:rsid w:val="00E35B93"/>
    <w:rsid w:val="00F532D1"/>
    <w:rsid w:val="00F71533"/>
    <w:rsid w:val="00F93F35"/>
    <w:rsid w:val="00FB3141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yazi_meclis_260_2022-04-06_10-31_402880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2022-04-07T06:49:00Z</cp:lastPrinted>
  <dcterms:created xsi:type="dcterms:W3CDTF">2022-04-12T13:34:00Z</dcterms:created>
  <dcterms:modified xsi:type="dcterms:W3CDTF">2022-04-12T13:34:00Z</dcterms:modified>
</cp:coreProperties>
</file>