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FD0" w:rsidRPr="00CB1F54" w:rsidRDefault="00996FD0" w:rsidP="009B575D">
      <w:pPr>
        <w:tabs>
          <w:tab w:val="left" w:pos="3402"/>
          <w:tab w:val="left" w:pos="3686"/>
        </w:tabs>
        <w:spacing w:after="120" w:line="240" w:lineRule="auto"/>
        <w:jc w:val="both"/>
        <w:rPr>
          <w:rFonts w:ascii="Arial" w:hAnsi="Arial" w:cs="Arial"/>
          <w:color w:val="FF0000"/>
        </w:rPr>
      </w:pP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4F0148" w:rsidRPr="00396F8F">
        <w:rPr>
          <w:rFonts w:ascii="Arial" w:hAnsi="Arial" w:cs="Arial"/>
          <w:sz w:val="24"/>
          <w:szCs w:val="24"/>
        </w:rPr>
        <w:t>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396F8F">
        <w:rPr>
          <w:rFonts w:ascii="Arial" w:hAnsi="Arial" w:cs="Arial"/>
          <w:sz w:val="24"/>
          <w:szCs w:val="24"/>
        </w:rPr>
        <w:t>22</w:t>
      </w:r>
      <w:r w:rsidRPr="007C06B4">
        <w:rPr>
          <w:rFonts w:ascii="Arial" w:hAnsi="Arial" w:cs="Arial"/>
          <w:sz w:val="24"/>
          <w:szCs w:val="24"/>
        </w:rPr>
        <w:t>/10/2021</w:t>
      </w:r>
    </w:p>
    <w:p w:rsidR="00000DF5" w:rsidRPr="007C06B4" w:rsidRDefault="00000DF5" w:rsidP="00000DF5">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00BE2649" w:rsidRPr="007C06B4">
        <w:rPr>
          <w:rFonts w:ascii="Arial" w:hAnsi="Arial" w:cs="Arial"/>
          <w:sz w:val="24"/>
          <w:szCs w:val="24"/>
        </w:rPr>
        <w:t>0</w:t>
      </w:r>
      <w:r w:rsidR="00396F8F">
        <w:rPr>
          <w:rFonts w:ascii="Arial" w:hAnsi="Arial" w:cs="Arial"/>
          <w:sz w:val="24"/>
          <w:szCs w:val="24"/>
        </w:rPr>
        <w:t>3</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7C06B4" w:rsidRPr="007C06B4">
        <w:rPr>
          <w:rFonts w:ascii="Arial" w:hAnsi="Arial" w:cs="Arial"/>
          <w:sz w:val="24"/>
          <w:szCs w:val="24"/>
        </w:rPr>
        <w:t>4/10</w:t>
      </w:r>
      <w:r w:rsidRPr="007C06B4">
        <w:rPr>
          <w:rFonts w:ascii="Arial" w:hAnsi="Arial" w:cs="Arial"/>
          <w:sz w:val="24"/>
          <w:szCs w:val="24"/>
        </w:rPr>
        <w:t>/2021</w:t>
      </w:r>
    </w:p>
    <w:p w:rsidR="00000DF5" w:rsidRPr="007C06B4" w:rsidRDefault="00000DF5" w:rsidP="00000DF5">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396F8F">
        <w:rPr>
          <w:rFonts w:ascii="Arial" w:hAnsi="Arial" w:cs="Arial"/>
          <w:sz w:val="24"/>
          <w:szCs w:val="24"/>
        </w:rPr>
        <w:t>59</w:t>
      </w:r>
    </w:p>
    <w:p w:rsidR="00D87B72" w:rsidRPr="00067C4D" w:rsidRDefault="009B7267" w:rsidP="009B7267">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Kültür Sanat ve Turizm </w:t>
      </w:r>
      <w:r w:rsidR="00D87B72">
        <w:rPr>
          <w:sz w:val="24"/>
          <w:szCs w:val="24"/>
        </w:rPr>
        <w:tab/>
      </w:r>
      <w:r w:rsidR="00D87B72">
        <w:rPr>
          <w:sz w:val="24"/>
          <w:szCs w:val="24"/>
        </w:rPr>
        <w:tab/>
      </w:r>
      <w:r w:rsidR="00D87B72">
        <w:rPr>
          <w:sz w:val="24"/>
          <w:szCs w:val="24"/>
        </w:rPr>
        <w:tab/>
      </w:r>
      <w:r>
        <w:rPr>
          <w:sz w:val="24"/>
          <w:szCs w:val="24"/>
        </w:rPr>
        <w:t>Komisyonu</w:t>
      </w:r>
      <w:r w:rsidR="00D87B72">
        <w:rPr>
          <w:sz w:val="24"/>
          <w:szCs w:val="24"/>
        </w:rPr>
        <w:t xml:space="preserve">, Proje Geliştirme Avrupa Birliği ve Dış İlişkiler </w:t>
      </w:r>
      <w:r w:rsidR="00D87B72">
        <w:rPr>
          <w:sz w:val="24"/>
          <w:szCs w:val="24"/>
        </w:rPr>
        <w:tab/>
      </w:r>
      <w:r w:rsidR="00D87B72">
        <w:rPr>
          <w:sz w:val="24"/>
          <w:szCs w:val="24"/>
        </w:rPr>
        <w:tab/>
        <w:t>Komisyonu, Ekonomik Hayatın Geliştirilmesi Komisyonu</w:t>
      </w:r>
    </w:p>
    <w:p w:rsidR="009B7267" w:rsidRDefault="009B7267" w:rsidP="009B726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9B7267" w:rsidRDefault="009B7267" w:rsidP="009B7267">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Pr>
          <w:sz w:val="24"/>
          <w:szCs w:val="24"/>
        </w:rPr>
        <w:tab/>
      </w:r>
    </w:p>
    <w:p w:rsidR="00E3440F" w:rsidRDefault="00000DF5" w:rsidP="00E3440F">
      <w:pPr>
        <w:tabs>
          <w:tab w:val="left" w:pos="3402"/>
          <w:tab w:val="left" w:pos="3686"/>
        </w:tabs>
        <w:spacing w:after="120" w:line="240" w:lineRule="auto"/>
        <w:jc w:val="both"/>
        <w:rPr>
          <w:sz w:val="24"/>
          <w:szCs w:val="24"/>
        </w:rPr>
      </w:pPr>
      <w:r w:rsidRPr="007C06B4">
        <w:rPr>
          <w:sz w:val="24"/>
          <w:szCs w:val="24"/>
        </w:rPr>
        <w:tab/>
      </w:r>
      <w:r w:rsidR="00E3440F">
        <w:rPr>
          <w:sz w:val="24"/>
          <w:szCs w:val="24"/>
        </w:rPr>
        <w:tab/>
      </w:r>
      <w:r w:rsidR="00E3440F">
        <w:rPr>
          <w:b/>
          <w:sz w:val="24"/>
          <w:szCs w:val="24"/>
        </w:rPr>
        <w:t xml:space="preserve">Proje Geliştirme Avrupa Birliği ve Dış İlişkiler </w:t>
      </w:r>
      <w:r w:rsidR="00E3440F">
        <w:rPr>
          <w:b/>
          <w:sz w:val="24"/>
          <w:szCs w:val="24"/>
        </w:rPr>
        <w:tab/>
      </w:r>
      <w:r w:rsidR="00E3440F">
        <w:rPr>
          <w:b/>
          <w:sz w:val="24"/>
          <w:szCs w:val="24"/>
        </w:rPr>
        <w:tab/>
      </w:r>
      <w:r w:rsidR="00E3440F">
        <w:rPr>
          <w:b/>
          <w:sz w:val="24"/>
          <w:szCs w:val="24"/>
        </w:rPr>
        <w:tab/>
      </w:r>
      <w:r w:rsidR="00E3440F">
        <w:rPr>
          <w:b/>
          <w:sz w:val="24"/>
          <w:szCs w:val="24"/>
        </w:rPr>
        <w:tab/>
        <w:t xml:space="preserve">Komisyonu: </w:t>
      </w:r>
      <w:r w:rsidR="00E3440F">
        <w:rPr>
          <w:b/>
          <w:sz w:val="24"/>
          <w:szCs w:val="24"/>
        </w:rPr>
        <w:tab/>
      </w:r>
      <w:r w:rsidR="00E3440F">
        <w:rPr>
          <w:sz w:val="24"/>
          <w:szCs w:val="24"/>
        </w:rPr>
        <w:t xml:space="preserve">Hasan TOGAY(Kom. Başk),Harun </w:t>
      </w:r>
      <w:r w:rsidR="00E3440F">
        <w:rPr>
          <w:sz w:val="24"/>
          <w:szCs w:val="24"/>
        </w:rPr>
        <w:tab/>
      </w:r>
      <w:r w:rsidR="00E3440F">
        <w:rPr>
          <w:sz w:val="24"/>
          <w:szCs w:val="24"/>
        </w:rPr>
        <w:tab/>
      </w:r>
      <w:r w:rsidR="00E3440F">
        <w:rPr>
          <w:sz w:val="24"/>
          <w:szCs w:val="24"/>
        </w:rPr>
        <w:tab/>
      </w:r>
      <w:r w:rsidR="00E3440F">
        <w:rPr>
          <w:sz w:val="24"/>
          <w:szCs w:val="24"/>
        </w:rPr>
        <w:tab/>
        <w:t xml:space="preserve">GÖKALP (Kom.Başk. V.),Abuzer DÖNDAŞ, Sevgi UĞURLU, </w:t>
      </w:r>
      <w:r w:rsidR="00E3440F">
        <w:rPr>
          <w:sz w:val="24"/>
          <w:szCs w:val="24"/>
        </w:rPr>
        <w:tab/>
      </w:r>
      <w:r w:rsidR="00E3440F">
        <w:rPr>
          <w:sz w:val="24"/>
          <w:szCs w:val="24"/>
        </w:rPr>
        <w:tab/>
        <w:t>Fuat AKBAŞ</w:t>
      </w:r>
    </w:p>
    <w:p w:rsidR="00000DF5" w:rsidRPr="007C06B4" w:rsidRDefault="00D87B72" w:rsidP="000E6B3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p>
    <w:p w:rsidR="00396F8F" w:rsidRDefault="00000DF5" w:rsidP="00396F8F">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00396F8F">
        <w:rPr>
          <w:sz w:val="24"/>
          <w:szCs w:val="24"/>
        </w:rPr>
        <w:t>21</w:t>
      </w:r>
      <w:r w:rsidR="007C06B4" w:rsidRPr="007C06B4">
        <w:rPr>
          <w:sz w:val="24"/>
          <w:szCs w:val="24"/>
        </w:rPr>
        <w:t>/10</w:t>
      </w:r>
      <w:r w:rsidRPr="007C06B4">
        <w:rPr>
          <w:sz w:val="24"/>
          <w:szCs w:val="24"/>
        </w:rPr>
        <w:t>/2021</w:t>
      </w:r>
    </w:p>
    <w:p w:rsidR="00396F8F" w:rsidRPr="00396F8F" w:rsidRDefault="00000DF5" w:rsidP="00396F8F">
      <w:pPr>
        <w:tabs>
          <w:tab w:val="left" w:pos="3402"/>
          <w:tab w:val="left" w:pos="3686"/>
        </w:tabs>
        <w:spacing w:after="120" w:line="240" w:lineRule="auto"/>
        <w:jc w:val="both"/>
        <w:rPr>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bookmarkStart w:id="0" w:name="_GoBack"/>
      <w:r w:rsidR="00396F8F">
        <w:rPr>
          <w:rFonts w:ascii="Arial" w:hAnsi="Arial" w:cs="Arial"/>
          <w:sz w:val="24"/>
          <w:szCs w:val="24"/>
        </w:rPr>
        <w:t xml:space="preserve">Belediye Meclisinin 04.10.2021 tarih ve 159 sayılı ara kararı ile komisyonlarımıza müştereken havale edilen, Belediyemizin 2022 yılı Performans Programının incelenmesi sonucunda; aşağıda belirtilen  düzeltme ve değişikliklerin yapılarak idareden geldiği şekliyle kabulüne Komisyonlarımızca oy birliğiyle karar verildi.  </w:t>
      </w:r>
    </w:p>
    <w:p w:rsidR="00396F8F" w:rsidRDefault="00396F8F" w:rsidP="00396F8F">
      <w:pPr>
        <w:jc w:val="both"/>
        <w:rPr>
          <w:rFonts w:ascii="Arial" w:hAnsi="Arial" w:cs="Arial"/>
          <w:sz w:val="24"/>
          <w:szCs w:val="24"/>
        </w:rPr>
      </w:pPr>
    </w:p>
    <w:bookmarkEnd w:id="0"/>
    <w:p w:rsidR="00396F8F" w:rsidRDefault="00396F8F" w:rsidP="00396F8F">
      <w:pPr>
        <w:pStyle w:val="ListeParagraf"/>
        <w:ind w:left="360"/>
        <w:jc w:val="both"/>
        <w:rPr>
          <w:rFonts w:ascii="Arial" w:hAnsi="Arial" w:cs="Arial"/>
          <w:sz w:val="24"/>
          <w:szCs w:val="24"/>
        </w:rPr>
      </w:pPr>
      <w:r>
        <w:rPr>
          <w:rFonts w:ascii="Arial" w:hAnsi="Arial" w:cs="Arial"/>
        </w:rPr>
        <w:t>1-  Sayfa 15 de bulunan fiziksel kaynaklar tablosundaki taşınmazlardan  Mersin Büyükşehir Belediyesine satışı yapılan “Bilim Deney Merkezinin” çıkarılması ,</w:t>
      </w:r>
    </w:p>
    <w:p w:rsidR="00396F8F" w:rsidRDefault="00396F8F" w:rsidP="00396F8F">
      <w:pPr>
        <w:pStyle w:val="ListeParagraf"/>
        <w:ind w:left="360"/>
        <w:jc w:val="both"/>
        <w:rPr>
          <w:rFonts w:ascii="Arial" w:hAnsi="Arial" w:cs="Arial"/>
        </w:rPr>
      </w:pPr>
      <w:r>
        <w:rPr>
          <w:rFonts w:ascii="Arial" w:hAnsi="Arial" w:cs="Arial"/>
        </w:rPr>
        <w:t>2-  Sayfa 17,18,19 da bulunan insan kaynakları bilgilerinin güncellenmesi,</w:t>
      </w:r>
    </w:p>
    <w:p w:rsidR="00396F8F" w:rsidRDefault="00396F8F" w:rsidP="00396F8F">
      <w:pPr>
        <w:pStyle w:val="ListeParagraf"/>
        <w:ind w:left="360"/>
        <w:jc w:val="both"/>
        <w:rPr>
          <w:rFonts w:ascii="Arial" w:hAnsi="Arial" w:cs="Arial"/>
        </w:rPr>
      </w:pPr>
      <w:r>
        <w:rPr>
          <w:rFonts w:ascii="Arial" w:hAnsi="Arial" w:cs="Arial"/>
        </w:rPr>
        <w:t>3-  Sayfa 32 de  bulunan S.H.2.1 “Yeşil alan varlığını herkes için erişilebilir kılacak planlama yapılması” hedefine ait PG 2.1.1 nolu (Toplam Yeşil Alan Artış Miktarı m2 ) göstergeye ait 2021 yılı tahmini oranının 937.000 olarak düzeltilmesi,</w:t>
      </w:r>
    </w:p>
    <w:p w:rsidR="00396F8F" w:rsidRDefault="00396F8F" w:rsidP="00396F8F">
      <w:pPr>
        <w:pStyle w:val="ListeParagraf"/>
        <w:ind w:left="360"/>
        <w:jc w:val="both"/>
        <w:rPr>
          <w:rFonts w:ascii="Arial" w:hAnsi="Arial" w:cs="Arial"/>
        </w:rPr>
      </w:pPr>
      <w:r>
        <w:rPr>
          <w:rFonts w:ascii="Arial" w:hAnsi="Arial" w:cs="Arial"/>
        </w:rPr>
        <w:t>4-  Sayfa 33 de bulunan S.H.2.2 Daha hareketli bir gündelik yaşamı teşvik etmek , mümkün kılmak” hedefine ait PG 2.2.4 nolu ( Vatandaşların alternatif ulaşımdan duyduğu memnuniyet oranı %) göstergenin kaldırılması.</w:t>
      </w:r>
    </w:p>
    <w:p w:rsidR="00000DF5" w:rsidRPr="00CB1F54" w:rsidRDefault="00BE2649" w:rsidP="00396F8F">
      <w:pPr>
        <w:tabs>
          <w:tab w:val="left" w:pos="3402"/>
          <w:tab w:val="left" w:pos="3686"/>
        </w:tabs>
        <w:spacing w:after="120" w:line="240" w:lineRule="auto"/>
        <w:jc w:val="both"/>
        <w:rPr>
          <w:rFonts w:ascii="Arial" w:hAnsi="Arial" w:cs="Arial"/>
          <w:color w:val="FF0000"/>
          <w:sz w:val="24"/>
          <w:szCs w:val="24"/>
        </w:rPr>
      </w:pPr>
      <w:r>
        <w:rPr>
          <w:rFonts w:ascii="Arial" w:hAnsi="Arial" w:cs="Arial"/>
          <w:sz w:val="24"/>
          <w:szCs w:val="24"/>
        </w:rPr>
        <w:t>.</w:t>
      </w:r>
    </w:p>
    <w:p w:rsidR="00000DF5" w:rsidRPr="00CB1F54" w:rsidRDefault="00000DF5" w:rsidP="00000DF5">
      <w:pPr>
        <w:ind w:firstLine="601"/>
        <w:jc w:val="both"/>
        <w:rPr>
          <w:rFonts w:ascii="Arial" w:hAnsi="Arial" w:cs="Arial"/>
          <w:color w:val="FF0000"/>
          <w:sz w:val="24"/>
          <w:szCs w:val="24"/>
        </w:rPr>
      </w:pPr>
    </w:p>
    <w:p w:rsidR="007C06B4" w:rsidRPr="00D87B72"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00D87B72" w:rsidRPr="00D87B72">
        <w:rPr>
          <w:rFonts w:ascii="Arial" w:hAnsi="Arial" w:cs="Arial"/>
          <w:sz w:val="24"/>
          <w:szCs w:val="24"/>
        </w:rPr>
        <w:t>2</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sidR="00D87B72">
        <w:rPr>
          <w:rFonts w:ascii="Arial" w:hAnsi="Arial" w:cs="Arial"/>
          <w:sz w:val="24"/>
          <w:szCs w:val="24"/>
        </w:rPr>
        <w:t>22</w:t>
      </w:r>
      <w:r w:rsidRPr="007C06B4">
        <w:rPr>
          <w:rFonts w:ascii="Arial" w:hAnsi="Arial" w:cs="Arial"/>
          <w:sz w:val="24"/>
          <w:szCs w:val="24"/>
        </w:rPr>
        <w:t>/10/2021</w:t>
      </w:r>
    </w:p>
    <w:p w:rsidR="007C06B4" w:rsidRPr="007C06B4" w:rsidRDefault="007C06B4" w:rsidP="007C06B4">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sidR="00D87B72">
        <w:rPr>
          <w:rFonts w:ascii="Arial" w:hAnsi="Arial" w:cs="Arial"/>
          <w:sz w:val="24"/>
          <w:szCs w:val="24"/>
        </w:rPr>
        <w:t>4</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7C06B4" w:rsidRPr="007C06B4" w:rsidRDefault="007C06B4" w:rsidP="007C06B4">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sidR="00CF7A4A">
        <w:rPr>
          <w:rFonts w:ascii="Arial" w:hAnsi="Arial" w:cs="Arial"/>
          <w:sz w:val="24"/>
          <w:szCs w:val="24"/>
        </w:rPr>
        <w:t>60</w:t>
      </w:r>
    </w:p>
    <w:p w:rsidR="007C06B4" w:rsidRPr="007C06B4" w:rsidRDefault="007C06B4" w:rsidP="007C06B4">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sidR="00D87B72">
        <w:rPr>
          <w:sz w:val="24"/>
          <w:szCs w:val="24"/>
        </w:rPr>
        <w:t>Plan ve Bütçe Komisyonu</w:t>
      </w:r>
    </w:p>
    <w:p w:rsidR="00D87B72" w:rsidRDefault="007C06B4" w:rsidP="00F26717">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sidR="00D87B72">
        <w:rPr>
          <w:b/>
          <w:sz w:val="24"/>
          <w:szCs w:val="24"/>
        </w:rPr>
        <w:t xml:space="preserve">Plan ve Bütçe Komisyonu: </w:t>
      </w:r>
      <w:r w:rsidR="00D87B72">
        <w:rPr>
          <w:sz w:val="24"/>
          <w:szCs w:val="24"/>
        </w:rPr>
        <w:t xml:space="preserve">Cevdet YILMAZ(Kom. Başk), </w:t>
      </w:r>
      <w:r w:rsidR="00D87B72">
        <w:rPr>
          <w:sz w:val="24"/>
          <w:szCs w:val="24"/>
        </w:rPr>
        <w:tab/>
      </w:r>
      <w:r w:rsidR="00D87B72">
        <w:rPr>
          <w:sz w:val="24"/>
          <w:szCs w:val="24"/>
        </w:rPr>
        <w:tab/>
      </w:r>
      <w:r w:rsidR="00D87B72">
        <w:rPr>
          <w:sz w:val="24"/>
          <w:szCs w:val="24"/>
        </w:rPr>
        <w:tab/>
        <w:t xml:space="preserve">Güney Nihat GEDİK (Kom.Başk. V.), Metin SOLUNOĞLU, </w:t>
      </w:r>
      <w:r w:rsidR="00D87B72">
        <w:rPr>
          <w:sz w:val="24"/>
          <w:szCs w:val="24"/>
        </w:rPr>
        <w:tab/>
      </w:r>
      <w:r w:rsidR="00D87B72">
        <w:rPr>
          <w:sz w:val="24"/>
          <w:szCs w:val="24"/>
        </w:rPr>
        <w:tab/>
      </w:r>
      <w:r w:rsidR="00D87B72">
        <w:rPr>
          <w:sz w:val="24"/>
          <w:szCs w:val="24"/>
        </w:rPr>
        <w:tab/>
        <w:t>Özkan ÖZDEMİR,Mehmet Ali AYDENİZ</w:t>
      </w:r>
      <w:r w:rsidRPr="007C06B4">
        <w:rPr>
          <w:sz w:val="24"/>
          <w:szCs w:val="24"/>
        </w:rPr>
        <w:tab/>
      </w:r>
      <w:r w:rsidRPr="007C06B4">
        <w:rPr>
          <w:sz w:val="24"/>
          <w:szCs w:val="24"/>
        </w:rPr>
        <w:tab/>
      </w:r>
    </w:p>
    <w:p w:rsidR="00CF7A4A" w:rsidRDefault="007C06B4" w:rsidP="00CF7A4A">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Pr="007C06B4">
        <w:rPr>
          <w:sz w:val="24"/>
          <w:szCs w:val="24"/>
        </w:rPr>
        <w:t>07/10/2021</w:t>
      </w:r>
    </w:p>
    <w:p w:rsidR="00CF7A4A" w:rsidRDefault="007C06B4" w:rsidP="00CF7A4A">
      <w:pPr>
        <w:tabs>
          <w:tab w:val="left" w:pos="3402"/>
          <w:tab w:val="left" w:pos="3686"/>
        </w:tabs>
        <w:spacing w:after="120" w:line="240" w:lineRule="auto"/>
        <w:jc w:val="both"/>
        <w:rPr>
          <w:rFonts w:ascii="Arial" w:hAnsi="Arial" w:cs="Arial"/>
          <w:sz w:val="16"/>
          <w:szCs w:val="16"/>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sidR="00CF7A4A">
        <w:rPr>
          <w:rFonts w:ascii="Arial" w:hAnsi="Arial" w:cs="Arial"/>
          <w:sz w:val="24"/>
          <w:szCs w:val="24"/>
        </w:rPr>
        <w:t xml:space="preserve">Yenişehir Belediye Meclisinin 04.10.2021 tarih ve 160 sayılı meclis ara kararı ile komisyonumuza havale edilen </w:t>
      </w:r>
      <w:r w:rsidR="00CF7A4A">
        <w:rPr>
          <w:rFonts w:ascii="Arial" w:hAnsi="Arial" w:cs="Arial"/>
          <w:color w:val="000000"/>
          <w:sz w:val="24"/>
          <w:szCs w:val="24"/>
        </w:rPr>
        <w:t xml:space="preserve">2022 </w:t>
      </w:r>
      <w:r w:rsidR="00CF7A4A">
        <w:rPr>
          <w:rFonts w:ascii="Arial" w:hAnsi="Arial" w:cs="Arial"/>
          <w:sz w:val="24"/>
          <w:szCs w:val="24"/>
        </w:rPr>
        <w:t>Mali Yılı Bütçe Tasarısı ve ekleri üzerinde gerekli çalışma ve incelemeler yapılarak;</w:t>
      </w:r>
    </w:p>
    <w:p w:rsidR="00CF7A4A" w:rsidRPr="00CF7A4A" w:rsidRDefault="00CF7A4A" w:rsidP="00CF7A4A">
      <w:pPr>
        <w:numPr>
          <w:ilvl w:val="0"/>
          <w:numId w:val="10"/>
        </w:numPr>
        <w:tabs>
          <w:tab w:val="left" w:pos="885"/>
        </w:tabs>
        <w:spacing w:after="0" w:line="240" w:lineRule="auto"/>
        <w:ind w:left="885" w:hanging="284"/>
        <w:jc w:val="both"/>
        <w:rPr>
          <w:rFonts w:ascii="Arial" w:hAnsi="Arial" w:cs="Arial"/>
          <w:sz w:val="24"/>
          <w:szCs w:val="10"/>
        </w:rPr>
      </w:pPr>
      <w:r w:rsidRPr="00CF7A4A">
        <w:rPr>
          <w:rFonts w:ascii="Arial" w:hAnsi="Arial" w:cs="Arial"/>
          <w:sz w:val="24"/>
          <w:szCs w:val="24"/>
        </w:rPr>
        <w:t>2022 Mali Yılı Bütçe Tasarısı; 5018 sayılı Kamu Mali Yönetimi ve Kontrol Kanunu, 5393 sayılı Belediye Kanunu ve Mahalli İdareler Bütçe ve Muhasebe Yönetmeliği ile Merkezi Yönetimce hazırlanan Bütçe Çağrısı ve Eki Bütçe Hazırlama Rehberinde yer alan ilkelere uygun bir şekilde hazırlandığı, buna göre Gelir Bütçesinin;</w:t>
      </w:r>
    </w:p>
    <w:p w:rsidR="00CF7A4A" w:rsidRDefault="00CF7A4A" w:rsidP="00CF7A4A">
      <w:pPr>
        <w:tabs>
          <w:tab w:val="left" w:pos="5272"/>
        </w:tabs>
        <w:ind w:firstLine="885"/>
        <w:jc w:val="both"/>
        <w:rPr>
          <w:rFonts w:ascii="Arial" w:hAnsi="Arial" w:cs="Arial"/>
          <w:sz w:val="24"/>
          <w:szCs w:val="24"/>
        </w:rPr>
      </w:pPr>
      <w:r>
        <w:rPr>
          <w:rFonts w:ascii="Arial" w:hAnsi="Arial" w:cs="Arial"/>
          <w:b/>
          <w:sz w:val="24"/>
          <w:u w:val="single"/>
        </w:rPr>
        <w:t>2022 MALİ YILI GELİR BÜTÇESİ</w:t>
      </w:r>
      <w:r>
        <w:rPr>
          <w:rFonts w:ascii="Arial" w:hAnsi="Arial" w:cs="Arial"/>
          <w:b/>
          <w:sz w:val="24"/>
          <w:u w:val="single"/>
        </w:rPr>
        <w:tab/>
        <w:t>:</w:t>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Vergi Gelirleri</w:t>
      </w:r>
      <w:r>
        <w:rPr>
          <w:rFonts w:ascii="Arial" w:hAnsi="Arial" w:cs="Arial"/>
          <w:sz w:val="24"/>
          <w:szCs w:val="24"/>
        </w:rPr>
        <w:tab/>
        <w:t>65.540.000,00 TL</w:t>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 xml:space="preserve">Teşebbüs ve Mülkiyet Gelirleri  </w:t>
      </w:r>
      <w:r>
        <w:rPr>
          <w:rFonts w:ascii="Arial" w:hAnsi="Arial" w:cs="Arial"/>
          <w:sz w:val="24"/>
          <w:szCs w:val="24"/>
        </w:rPr>
        <w:tab/>
        <w:t xml:space="preserve">4.880.000,00 TL </w:t>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 xml:space="preserve">Alınan Bağış ve Yardım  ile Özel Gelirler   </w:t>
      </w:r>
      <w:r>
        <w:rPr>
          <w:rFonts w:ascii="Arial" w:hAnsi="Arial" w:cs="Arial"/>
          <w:sz w:val="24"/>
          <w:szCs w:val="24"/>
        </w:rPr>
        <w:tab/>
        <w:t xml:space="preserve">450.000,00 TL  </w:t>
      </w:r>
      <w:r>
        <w:rPr>
          <w:rFonts w:ascii="Arial" w:hAnsi="Arial" w:cs="Arial"/>
          <w:sz w:val="24"/>
          <w:szCs w:val="24"/>
        </w:rPr>
        <w:tab/>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Diğer Gelirler</w:t>
      </w:r>
      <w:r>
        <w:rPr>
          <w:rFonts w:ascii="Arial" w:hAnsi="Arial" w:cs="Arial"/>
          <w:sz w:val="24"/>
          <w:szCs w:val="24"/>
        </w:rPr>
        <w:tab/>
        <w:t>175.135.000,00 TL</w:t>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Sermaye Gelirler</w:t>
      </w:r>
      <w:r>
        <w:rPr>
          <w:rFonts w:ascii="Arial" w:hAnsi="Arial" w:cs="Arial"/>
          <w:sz w:val="24"/>
          <w:szCs w:val="24"/>
        </w:rPr>
        <w:tab/>
        <w:t>35.000.000,00 TL</w:t>
      </w:r>
    </w:p>
    <w:p w:rsidR="00CF7A4A" w:rsidRDefault="00CF7A4A" w:rsidP="00CF7A4A">
      <w:pPr>
        <w:tabs>
          <w:tab w:val="left" w:pos="0"/>
          <w:tab w:val="right" w:pos="7513"/>
        </w:tabs>
        <w:ind w:firstLine="885"/>
        <w:rPr>
          <w:rFonts w:ascii="Arial" w:hAnsi="Arial" w:cs="Arial"/>
          <w:sz w:val="24"/>
          <w:szCs w:val="24"/>
        </w:rPr>
      </w:pPr>
      <w:r>
        <w:rPr>
          <w:rFonts w:ascii="Arial" w:hAnsi="Arial" w:cs="Arial"/>
          <w:sz w:val="24"/>
          <w:szCs w:val="24"/>
        </w:rPr>
        <w:t xml:space="preserve">Red ve İadeler </w:t>
      </w:r>
      <w:r>
        <w:rPr>
          <w:rFonts w:ascii="Arial" w:hAnsi="Arial" w:cs="Arial"/>
          <w:sz w:val="24"/>
          <w:szCs w:val="24"/>
        </w:rPr>
        <w:tab/>
      </w:r>
      <w:r>
        <w:rPr>
          <w:rFonts w:ascii="Arial" w:hAnsi="Arial" w:cs="Arial"/>
          <w:sz w:val="24"/>
          <w:szCs w:val="24"/>
          <w:u w:val="single"/>
        </w:rPr>
        <w:t>-5.000,00TL</w:t>
      </w:r>
      <w:r>
        <w:rPr>
          <w:rFonts w:ascii="Arial" w:hAnsi="Arial" w:cs="Arial"/>
          <w:sz w:val="24"/>
          <w:szCs w:val="24"/>
          <w:u w:val="single"/>
        </w:rPr>
        <w:tab/>
      </w:r>
    </w:p>
    <w:p w:rsidR="00CF7A4A" w:rsidRDefault="00CF7A4A" w:rsidP="00CF7A4A">
      <w:pPr>
        <w:pStyle w:val="Balk6"/>
        <w:tabs>
          <w:tab w:val="left" w:pos="4207"/>
          <w:tab w:val="right" w:pos="7547"/>
        </w:tabs>
        <w:rPr>
          <w:rFonts w:ascii="Arial" w:hAnsi="Arial" w:cs="Arial"/>
          <w:sz w:val="24"/>
          <w:szCs w:val="24"/>
        </w:rPr>
      </w:pPr>
      <w:r>
        <w:tab/>
      </w:r>
      <w:r>
        <w:rPr>
          <w:rFonts w:ascii="Arial" w:hAnsi="Arial" w:cs="Arial"/>
          <w:sz w:val="24"/>
          <w:szCs w:val="24"/>
        </w:rPr>
        <w:t xml:space="preserve">TOPLAM  </w:t>
      </w:r>
      <w:r>
        <w:rPr>
          <w:rFonts w:ascii="Arial" w:hAnsi="Arial" w:cs="Arial"/>
          <w:sz w:val="24"/>
          <w:szCs w:val="24"/>
        </w:rPr>
        <w:tab/>
        <w:t>281.000.000,00 TL</w:t>
      </w:r>
    </w:p>
    <w:p w:rsidR="00CF7A4A" w:rsidRDefault="00CF7A4A" w:rsidP="00CF7A4A">
      <w:pPr>
        <w:rPr>
          <w:rFonts w:ascii="Arial" w:hAnsi="Arial" w:cs="Arial"/>
          <w:b/>
          <w:bCs/>
          <w:sz w:val="24"/>
          <w:szCs w:val="10"/>
        </w:rPr>
      </w:pPr>
      <w:r>
        <w:tab/>
      </w:r>
      <w:r>
        <w:rPr>
          <w:rFonts w:ascii="Arial" w:hAnsi="Arial" w:cs="Arial"/>
          <w:sz w:val="24"/>
          <w:szCs w:val="24"/>
        </w:rPr>
        <w:t>Olarak hazırlandığı,</w:t>
      </w:r>
    </w:p>
    <w:p w:rsidR="00CF7A4A" w:rsidRDefault="00CF7A4A" w:rsidP="00CF7A4A">
      <w:pPr>
        <w:tabs>
          <w:tab w:val="left" w:pos="564"/>
          <w:tab w:val="left" w:pos="885"/>
        </w:tabs>
        <w:ind w:left="885" w:hanging="885"/>
        <w:jc w:val="both"/>
        <w:rPr>
          <w:rFonts w:ascii="Times New Roman" w:hAnsi="Times New Roman" w:cs="Times New Roman"/>
          <w:sz w:val="20"/>
          <w:szCs w:val="20"/>
        </w:rPr>
      </w:pPr>
      <w:r>
        <w:rPr>
          <w:rFonts w:ascii="Arial" w:hAnsi="Arial" w:cs="Arial"/>
          <w:sz w:val="24"/>
          <w:szCs w:val="24"/>
        </w:rPr>
        <w:tab/>
      </w:r>
      <w:r>
        <w:rPr>
          <w:rFonts w:ascii="Arial" w:hAnsi="Arial" w:cs="Arial"/>
          <w:b/>
          <w:sz w:val="24"/>
          <w:szCs w:val="24"/>
        </w:rPr>
        <w:t>2-</w:t>
      </w:r>
      <w:r>
        <w:rPr>
          <w:rFonts w:ascii="Arial" w:hAnsi="Arial" w:cs="Arial"/>
          <w:sz w:val="24"/>
          <w:szCs w:val="24"/>
        </w:rPr>
        <w:tab/>
        <w:t>Gider Bütçesinin Mahalli İdareler Bütçe ve Muhasebe Yönetmeliği ile Merkezi Yönetimce hazırlanan Bütçe Çağrısı ve Eki Bütçe Hazırlama Rehberinde yer alan sınıflandırmalara uygun bir şekilde düzenlendiği ve Gider Bütçesinin;</w:t>
      </w:r>
    </w:p>
    <w:p w:rsidR="00CF7A4A" w:rsidRDefault="00CF7A4A" w:rsidP="00CF7A4A">
      <w:pPr>
        <w:tabs>
          <w:tab w:val="left" w:pos="5279"/>
          <w:tab w:val="right" w:pos="6521"/>
        </w:tabs>
        <w:ind w:firstLine="601"/>
        <w:rPr>
          <w:rFonts w:ascii="Arial" w:hAnsi="Arial" w:cs="Arial"/>
          <w:b/>
          <w:sz w:val="24"/>
          <w:szCs w:val="24"/>
          <w:u w:val="single"/>
        </w:rPr>
      </w:pPr>
    </w:p>
    <w:p w:rsidR="00CF7A4A" w:rsidRDefault="00CF7A4A" w:rsidP="00CF7A4A">
      <w:pPr>
        <w:tabs>
          <w:tab w:val="left" w:pos="5279"/>
          <w:tab w:val="right" w:pos="6521"/>
        </w:tabs>
        <w:ind w:firstLine="601"/>
        <w:rPr>
          <w:rFonts w:ascii="Arial" w:hAnsi="Arial" w:cs="Arial"/>
          <w:b/>
          <w:sz w:val="24"/>
          <w:szCs w:val="24"/>
          <w:u w:val="single"/>
        </w:rPr>
      </w:pPr>
    </w:p>
    <w:p w:rsidR="00CF7A4A" w:rsidRDefault="00CF7A4A" w:rsidP="00CF7A4A">
      <w:pPr>
        <w:tabs>
          <w:tab w:val="left" w:pos="5279"/>
          <w:tab w:val="right" w:pos="6521"/>
        </w:tabs>
        <w:ind w:firstLine="601"/>
        <w:rPr>
          <w:rFonts w:ascii="Arial" w:hAnsi="Arial" w:cs="Arial"/>
          <w:b/>
          <w:sz w:val="20"/>
          <w:szCs w:val="20"/>
          <w:u w:val="single"/>
        </w:rPr>
      </w:pPr>
      <w:r>
        <w:rPr>
          <w:rFonts w:ascii="Arial" w:hAnsi="Arial" w:cs="Arial"/>
          <w:b/>
          <w:sz w:val="24"/>
          <w:szCs w:val="24"/>
          <w:u w:val="single"/>
        </w:rPr>
        <w:lastRenderedPageBreak/>
        <w:t>2022 MALİ YILI GİDER BÜTÇESİ</w:t>
      </w:r>
      <w:r>
        <w:rPr>
          <w:rFonts w:ascii="Arial" w:hAnsi="Arial" w:cs="Arial"/>
          <w:b/>
          <w:sz w:val="24"/>
          <w:szCs w:val="24"/>
          <w:u w:val="single"/>
        </w:rPr>
        <w:tab/>
        <w:t>:</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Personel Giderleri</w:t>
      </w:r>
      <w:r>
        <w:rPr>
          <w:rFonts w:ascii="Arial" w:hAnsi="Arial" w:cs="Arial"/>
          <w:sz w:val="24"/>
          <w:szCs w:val="24"/>
        </w:rPr>
        <w:tab/>
        <w:t>69.156.000,00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Sos.Güv.Kur.Devlet Primi Giderleri</w:t>
      </w:r>
      <w:r>
        <w:rPr>
          <w:rFonts w:ascii="Arial" w:hAnsi="Arial" w:cs="Arial"/>
          <w:sz w:val="24"/>
          <w:szCs w:val="24"/>
        </w:rPr>
        <w:tab/>
        <w:t>12.020.000,00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Mal ve Hizmet Alımı Giderleri</w:t>
      </w:r>
      <w:r>
        <w:rPr>
          <w:rFonts w:ascii="Arial" w:hAnsi="Arial" w:cs="Arial"/>
          <w:sz w:val="24"/>
          <w:szCs w:val="24"/>
        </w:rPr>
        <w:tab/>
        <w:t>132.163.000,00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Faiz Giderleri</w:t>
      </w:r>
      <w:r>
        <w:rPr>
          <w:rFonts w:ascii="Arial" w:hAnsi="Arial" w:cs="Arial"/>
          <w:sz w:val="24"/>
          <w:szCs w:val="24"/>
        </w:rPr>
        <w:tab/>
        <w:t>3.000.000,00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Cari Transferler</w:t>
      </w:r>
      <w:r>
        <w:rPr>
          <w:rFonts w:ascii="Arial" w:hAnsi="Arial" w:cs="Arial"/>
          <w:sz w:val="24"/>
          <w:szCs w:val="24"/>
        </w:rPr>
        <w:tab/>
        <w:t>9.610.000,00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Sermaye Giderleri</w:t>
      </w:r>
      <w:r>
        <w:rPr>
          <w:rFonts w:ascii="Arial" w:hAnsi="Arial" w:cs="Arial"/>
          <w:sz w:val="24"/>
          <w:szCs w:val="24"/>
        </w:rPr>
        <w:tab/>
        <w:t>33.065.000,00 TL</w:t>
      </w:r>
    </w:p>
    <w:p w:rsidR="00CF7A4A" w:rsidRDefault="00CF7A4A" w:rsidP="00CF7A4A">
      <w:pPr>
        <w:tabs>
          <w:tab w:val="left" w:pos="0"/>
          <w:tab w:val="right" w:pos="7972"/>
        </w:tabs>
        <w:ind w:firstLine="601"/>
        <w:rPr>
          <w:rFonts w:ascii="Arial" w:hAnsi="Arial" w:cs="Arial"/>
          <w:sz w:val="24"/>
          <w:szCs w:val="24"/>
        </w:rPr>
      </w:pPr>
      <w:r>
        <w:rPr>
          <w:rFonts w:ascii="Arial" w:hAnsi="Arial" w:cs="Arial"/>
          <w:sz w:val="24"/>
          <w:szCs w:val="24"/>
        </w:rPr>
        <w:t>Sermaye Transferleri</w:t>
      </w:r>
      <w:r>
        <w:rPr>
          <w:rFonts w:ascii="Arial" w:hAnsi="Arial" w:cs="Arial"/>
          <w:sz w:val="24"/>
          <w:szCs w:val="24"/>
        </w:rPr>
        <w:tab/>
        <w:t>1.986.000,00 TL</w:t>
      </w:r>
    </w:p>
    <w:p w:rsidR="00CF7A4A" w:rsidRDefault="00CF7A4A" w:rsidP="00CF7A4A">
      <w:pPr>
        <w:tabs>
          <w:tab w:val="right" w:pos="7972"/>
        </w:tabs>
        <w:ind w:left="-108" w:firstLine="709"/>
        <w:jc w:val="both"/>
        <w:rPr>
          <w:rFonts w:ascii="Arial" w:hAnsi="Arial" w:cs="Arial"/>
          <w:b/>
          <w:bCs/>
          <w:sz w:val="12"/>
          <w:szCs w:val="12"/>
        </w:rPr>
      </w:pPr>
      <w:r>
        <w:rPr>
          <w:rFonts w:ascii="Arial" w:hAnsi="Arial" w:cs="Arial"/>
          <w:sz w:val="24"/>
          <w:szCs w:val="24"/>
        </w:rPr>
        <w:t xml:space="preserve">Yedek Ödenek                                                         </w:t>
      </w:r>
      <w:r>
        <w:rPr>
          <w:rFonts w:ascii="Arial" w:hAnsi="Arial" w:cs="Arial"/>
          <w:sz w:val="24"/>
          <w:szCs w:val="24"/>
        </w:rPr>
        <w:tab/>
      </w:r>
      <w:r>
        <w:rPr>
          <w:rFonts w:ascii="Arial" w:hAnsi="Arial" w:cs="Arial"/>
          <w:sz w:val="24"/>
          <w:szCs w:val="24"/>
          <w:u w:val="single"/>
        </w:rPr>
        <w:t>20.000.000,00 TL</w:t>
      </w:r>
    </w:p>
    <w:p w:rsidR="00CF7A4A" w:rsidRDefault="00CF7A4A" w:rsidP="00CF7A4A">
      <w:pPr>
        <w:tabs>
          <w:tab w:val="left" w:pos="3861"/>
          <w:tab w:val="right" w:pos="7972"/>
        </w:tabs>
        <w:ind w:firstLine="601"/>
        <w:rPr>
          <w:rFonts w:ascii="Arial" w:hAnsi="Arial" w:cs="Arial"/>
          <w:b/>
          <w:bCs/>
          <w:sz w:val="24"/>
          <w:szCs w:val="24"/>
        </w:rPr>
      </w:pPr>
      <w:r>
        <w:rPr>
          <w:rFonts w:ascii="Arial" w:hAnsi="Arial" w:cs="Arial"/>
          <w:sz w:val="24"/>
          <w:szCs w:val="24"/>
        </w:rPr>
        <w:tab/>
      </w:r>
      <w:r>
        <w:rPr>
          <w:rFonts w:ascii="Arial" w:hAnsi="Arial" w:cs="Arial"/>
          <w:b/>
          <w:bCs/>
          <w:sz w:val="24"/>
          <w:szCs w:val="24"/>
        </w:rPr>
        <w:t xml:space="preserve">TOPLAM   </w:t>
      </w:r>
      <w:r>
        <w:rPr>
          <w:rFonts w:ascii="Arial" w:hAnsi="Arial" w:cs="Arial"/>
          <w:b/>
          <w:bCs/>
          <w:sz w:val="24"/>
          <w:szCs w:val="24"/>
        </w:rPr>
        <w:tab/>
        <w:t>281.000.000,00TL</w:t>
      </w:r>
      <w:r>
        <w:rPr>
          <w:rFonts w:ascii="Arial" w:hAnsi="Arial" w:cs="Arial"/>
          <w:b/>
          <w:bCs/>
          <w:sz w:val="24"/>
          <w:szCs w:val="24"/>
        </w:rPr>
        <w:tab/>
      </w:r>
    </w:p>
    <w:p w:rsidR="00CF7A4A" w:rsidRDefault="00CF7A4A" w:rsidP="00CF7A4A">
      <w:pPr>
        <w:tabs>
          <w:tab w:val="left" w:pos="3861"/>
          <w:tab w:val="right" w:pos="7972"/>
        </w:tabs>
        <w:ind w:firstLine="601"/>
        <w:rPr>
          <w:rFonts w:ascii="Arial" w:hAnsi="Arial" w:cs="Arial"/>
          <w:b/>
          <w:bCs/>
          <w:sz w:val="24"/>
          <w:szCs w:val="24"/>
        </w:rPr>
      </w:pPr>
      <w:r>
        <w:rPr>
          <w:rFonts w:ascii="Arial" w:hAnsi="Arial" w:cs="Arial"/>
          <w:sz w:val="24"/>
          <w:szCs w:val="24"/>
        </w:rPr>
        <w:t>Olarak hazırlandığı,</w:t>
      </w:r>
    </w:p>
    <w:p w:rsidR="00CF7A4A" w:rsidRDefault="00CF7A4A" w:rsidP="00CF7A4A">
      <w:pPr>
        <w:tabs>
          <w:tab w:val="num" w:pos="1168"/>
        </w:tabs>
        <w:ind w:left="1168" w:hanging="283"/>
        <w:jc w:val="both"/>
        <w:rPr>
          <w:rFonts w:ascii="Arial" w:hAnsi="Arial" w:cs="Arial"/>
          <w:sz w:val="10"/>
          <w:szCs w:val="10"/>
        </w:rPr>
      </w:pPr>
    </w:p>
    <w:p w:rsidR="00CF7A4A" w:rsidRDefault="00CF7A4A" w:rsidP="00CF7A4A">
      <w:pPr>
        <w:tabs>
          <w:tab w:val="left" w:pos="885"/>
        </w:tabs>
        <w:ind w:left="885" w:hanging="284"/>
        <w:jc w:val="both"/>
        <w:rPr>
          <w:rFonts w:ascii="Arial" w:hAnsi="Arial" w:cs="Arial"/>
          <w:sz w:val="20"/>
          <w:szCs w:val="20"/>
        </w:rPr>
      </w:pPr>
      <w:r>
        <w:rPr>
          <w:rFonts w:ascii="Arial" w:hAnsi="Arial" w:cs="Arial"/>
          <w:b/>
          <w:bCs/>
          <w:sz w:val="24"/>
          <w:szCs w:val="24"/>
        </w:rPr>
        <w:t>3-</w:t>
      </w:r>
      <w:r>
        <w:rPr>
          <w:rFonts w:ascii="Arial" w:hAnsi="Arial" w:cs="Arial"/>
          <w:sz w:val="24"/>
          <w:szCs w:val="24"/>
        </w:rPr>
        <w:tab/>
        <w:t>Bütçeye eklenen A,B,C,G,H.K–1,K–2,T-1,T-2 cetvelinin usulüne uygun olarak hazırlandığı,</w:t>
      </w:r>
    </w:p>
    <w:p w:rsidR="00CF7A4A" w:rsidRDefault="00CF7A4A" w:rsidP="00CF7A4A">
      <w:pPr>
        <w:tabs>
          <w:tab w:val="left" w:pos="885"/>
        </w:tabs>
        <w:ind w:left="885" w:hanging="284"/>
        <w:jc w:val="both"/>
        <w:rPr>
          <w:rFonts w:ascii="Arial" w:hAnsi="Arial" w:cs="Arial"/>
          <w:color w:val="FF0000"/>
          <w:sz w:val="24"/>
          <w:szCs w:val="24"/>
        </w:rPr>
      </w:pPr>
      <w:r>
        <w:rPr>
          <w:rFonts w:ascii="Arial" w:hAnsi="Arial" w:cs="Arial"/>
          <w:b/>
          <w:sz w:val="24"/>
          <w:szCs w:val="24"/>
        </w:rPr>
        <w:t xml:space="preserve">4- </w:t>
      </w:r>
      <w:r>
        <w:rPr>
          <w:rFonts w:ascii="Arial" w:hAnsi="Arial" w:cs="Arial"/>
          <w:sz w:val="24"/>
          <w:szCs w:val="24"/>
        </w:rPr>
        <w:t>2022 Mali Yılı Gelir Bütçesi toplamının 281.000.000,00.-TL, Gider Bütçesi     toplamının 281.000.000,00.-TL olarak tahmin edildiği görülmüştür.</w:t>
      </w:r>
    </w:p>
    <w:p w:rsidR="00CF7A4A" w:rsidRDefault="00CF7A4A" w:rsidP="00CF7A4A">
      <w:pPr>
        <w:tabs>
          <w:tab w:val="left" w:pos="885"/>
        </w:tabs>
        <w:ind w:left="885" w:hanging="284"/>
        <w:jc w:val="both"/>
        <w:rPr>
          <w:rFonts w:ascii="Arial" w:hAnsi="Arial" w:cs="Arial"/>
          <w:color w:val="FF0000"/>
          <w:sz w:val="20"/>
          <w:szCs w:val="20"/>
        </w:rPr>
      </w:pPr>
      <w:r>
        <w:rPr>
          <w:rFonts w:ascii="Arial" w:hAnsi="Arial" w:cs="Arial"/>
          <w:b/>
          <w:sz w:val="24"/>
          <w:szCs w:val="24"/>
        </w:rPr>
        <w:t xml:space="preserve">5-  </w:t>
      </w:r>
      <w:r>
        <w:rPr>
          <w:rFonts w:ascii="Arial" w:hAnsi="Arial" w:cs="Arial"/>
          <w:sz w:val="24"/>
          <w:szCs w:val="24"/>
        </w:rPr>
        <w:t>2022 yılı gider bütçe tahmininde yer alan ödeneklere, gelir bütçe tahmininde yer     alan gelirler ile finansmanın ekonomik sınıflandırması tablosundaki 0-TL net borçlanma kaynağı karşılık gösterilmek suretiyle denklik sağlanmıştır.</w:t>
      </w:r>
    </w:p>
    <w:p w:rsidR="00CF7A4A" w:rsidRDefault="00CF7A4A" w:rsidP="00CF7A4A">
      <w:pPr>
        <w:ind w:firstLine="567"/>
        <w:jc w:val="both"/>
        <w:rPr>
          <w:rFonts w:ascii="Arial" w:hAnsi="Arial" w:cs="Arial"/>
          <w:sz w:val="24"/>
          <w:szCs w:val="24"/>
        </w:rPr>
      </w:pPr>
      <w:r>
        <w:rPr>
          <w:rFonts w:ascii="Arial" w:hAnsi="Arial" w:cs="Arial"/>
          <w:sz w:val="24"/>
          <w:szCs w:val="24"/>
        </w:rPr>
        <w:t>Komisyonumuza havale edilen 2022 Mali Yılı Bütçe tasarısında gerekli incelemeler yapılarak;</w:t>
      </w:r>
    </w:p>
    <w:p w:rsidR="00CF7A4A" w:rsidRDefault="00CF7A4A" w:rsidP="00CF7A4A">
      <w:pPr>
        <w:pStyle w:val="Balk1"/>
        <w:rPr>
          <w:rFonts w:ascii="Arial" w:hAnsi="Arial" w:cs="Arial"/>
          <w:sz w:val="10"/>
          <w:szCs w:val="10"/>
          <w:u w:val="single"/>
        </w:rPr>
      </w:pPr>
    </w:p>
    <w:p w:rsidR="00CF7A4A" w:rsidRDefault="00CF7A4A" w:rsidP="00CF7A4A">
      <w:pPr>
        <w:tabs>
          <w:tab w:val="left" w:pos="885"/>
        </w:tabs>
        <w:ind w:firstLine="567"/>
        <w:jc w:val="both"/>
        <w:rPr>
          <w:rFonts w:ascii="Arial" w:hAnsi="Arial" w:cs="Arial"/>
          <w:sz w:val="10"/>
          <w:szCs w:val="10"/>
        </w:rPr>
      </w:pPr>
      <w:r>
        <w:rPr>
          <w:rFonts w:ascii="Arial" w:hAnsi="Arial" w:cs="Arial"/>
          <w:sz w:val="24"/>
          <w:szCs w:val="24"/>
        </w:rPr>
        <w:t>-Gelir Bütçesi 281.000.000</w:t>
      </w:r>
      <w:r>
        <w:rPr>
          <w:rFonts w:ascii="Arial" w:hAnsi="Arial" w:cs="Arial"/>
          <w:b/>
          <w:bCs/>
          <w:sz w:val="24"/>
          <w:szCs w:val="24"/>
        </w:rPr>
        <w:t>,</w:t>
      </w:r>
      <w:r>
        <w:rPr>
          <w:rFonts w:ascii="Arial" w:hAnsi="Arial" w:cs="Arial"/>
          <w:bCs/>
          <w:sz w:val="24"/>
          <w:szCs w:val="24"/>
        </w:rPr>
        <w:t xml:space="preserve">00 </w:t>
      </w:r>
      <w:r>
        <w:rPr>
          <w:rFonts w:ascii="Arial" w:hAnsi="Arial" w:cs="Arial"/>
          <w:sz w:val="24"/>
          <w:szCs w:val="24"/>
        </w:rPr>
        <w:t>TL</w:t>
      </w:r>
      <w:r>
        <w:rPr>
          <w:rFonts w:ascii="Arial" w:hAnsi="Arial" w:cs="Arial"/>
          <w:b/>
          <w:sz w:val="24"/>
          <w:szCs w:val="24"/>
        </w:rPr>
        <w:t xml:space="preserve">, </w:t>
      </w:r>
      <w:r>
        <w:rPr>
          <w:rFonts w:ascii="Arial" w:hAnsi="Arial" w:cs="Arial"/>
          <w:sz w:val="24"/>
          <w:szCs w:val="24"/>
        </w:rPr>
        <w:t>Gider Bütçesi 281.000.000,00 TL olarak bütçe denkliğinin sağlanmış olduğu görülmüş ve İdare teklifi komisyonumuza geldiği şekliyle kabul edilmiştir.</w:t>
      </w:r>
    </w:p>
    <w:p w:rsidR="00CF7A4A" w:rsidRDefault="00CF7A4A" w:rsidP="00CF7A4A">
      <w:pPr>
        <w:ind w:firstLine="885"/>
        <w:jc w:val="both"/>
        <w:rPr>
          <w:rFonts w:ascii="Arial" w:hAnsi="Arial" w:cs="Arial"/>
          <w:sz w:val="12"/>
          <w:szCs w:val="12"/>
        </w:rPr>
      </w:pPr>
      <w:r>
        <w:rPr>
          <w:rFonts w:ascii="Arial" w:hAnsi="Arial" w:cs="Arial"/>
          <w:sz w:val="24"/>
          <w:szCs w:val="24"/>
        </w:rPr>
        <w:t xml:space="preserve">Sonuç olarak; </w:t>
      </w:r>
    </w:p>
    <w:p w:rsidR="00CF7A4A" w:rsidRDefault="00CF7A4A" w:rsidP="00CF7A4A">
      <w:pPr>
        <w:ind w:firstLine="708"/>
        <w:jc w:val="both"/>
        <w:rPr>
          <w:rFonts w:ascii="Arial" w:hAnsi="Arial" w:cs="Arial"/>
          <w:sz w:val="24"/>
          <w:szCs w:val="24"/>
        </w:rPr>
      </w:pPr>
      <w:r>
        <w:rPr>
          <w:rFonts w:ascii="Arial" w:hAnsi="Arial" w:cs="Arial"/>
          <w:sz w:val="24"/>
          <w:szCs w:val="24"/>
        </w:rPr>
        <w:t xml:space="preserve">Yenişehir Belediyesinin 2022 Mali Yılı Bütçe tasarısında gerekli incelemeler yapılarak 2022 Mali Yılı Bütçesinin 281.000.000,00TL‘ye bağlanmasının kabulüne komisyonumuzca oybirliği ile karar verildi.   </w:t>
      </w:r>
    </w:p>
    <w:p w:rsidR="000E6B34" w:rsidRDefault="000E6B34" w:rsidP="00CF7A4A">
      <w:pPr>
        <w:tabs>
          <w:tab w:val="left" w:pos="3402"/>
          <w:tab w:val="left" w:pos="3686"/>
        </w:tabs>
        <w:spacing w:after="120" w:line="240" w:lineRule="auto"/>
        <w:jc w:val="both"/>
        <w:rPr>
          <w:rFonts w:ascii="Arial" w:hAnsi="Arial" w:cs="Arial"/>
          <w:sz w:val="24"/>
          <w:szCs w:val="24"/>
        </w:rPr>
      </w:pPr>
    </w:p>
    <w:p w:rsidR="00CF7A4A" w:rsidRDefault="00CF7A4A" w:rsidP="00CF7A4A">
      <w:pPr>
        <w:tabs>
          <w:tab w:val="left" w:pos="3402"/>
          <w:tab w:val="left" w:pos="3686"/>
        </w:tabs>
        <w:spacing w:after="120" w:line="240" w:lineRule="auto"/>
        <w:jc w:val="both"/>
        <w:rPr>
          <w:rFonts w:ascii="Arial" w:hAnsi="Arial" w:cs="Arial"/>
          <w:b/>
          <w:sz w:val="24"/>
          <w:szCs w:val="24"/>
        </w:rPr>
      </w:pPr>
    </w:p>
    <w:p w:rsidR="00CF7A4A" w:rsidRPr="00D87B72" w:rsidRDefault="00CF7A4A" w:rsidP="00CF7A4A">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Pr>
          <w:rFonts w:ascii="Arial" w:hAnsi="Arial" w:cs="Arial"/>
          <w:b/>
          <w:sz w:val="24"/>
          <w:szCs w:val="24"/>
        </w:rPr>
        <w:t>3</w:t>
      </w:r>
    </w:p>
    <w:p w:rsidR="00CF7A4A" w:rsidRPr="007C06B4" w:rsidRDefault="00CF7A4A" w:rsidP="00CF7A4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22</w:t>
      </w:r>
      <w:r w:rsidRPr="007C06B4">
        <w:rPr>
          <w:rFonts w:ascii="Arial" w:hAnsi="Arial" w:cs="Arial"/>
          <w:sz w:val="24"/>
          <w:szCs w:val="24"/>
        </w:rPr>
        <w:t>/10/2021</w:t>
      </w:r>
    </w:p>
    <w:p w:rsidR="00CF7A4A" w:rsidRPr="007C06B4" w:rsidRDefault="00CF7A4A" w:rsidP="00CF7A4A">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Pr>
          <w:rFonts w:ascii="Arial" w:hAnsi="Arial" w:cs="Arial"/>
          <w:sz w:val="24"/>
          <w:szCs w:val="24"/>
        </w:rPr>
        <w:t>5</w:t>
      </w:r>
    </w:p>
    <w:p w:rsidR="00CF7A4A" w:rsidRPr="007C06B4" w:rsidRDefault="00CF7A4A" w:rsidP="00CF7A4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CF7A4A" w:rsidRPr="007C06B4" w:rsidRDefault="00CF7A4A" w:rsidP="00CF7A4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Pr>
          <w:rFonts w:ascii="Arial" w:hAnsi="Arial" w:cs="Arial"/>
          <w:sz w:val="24"/>
          <w:szCs w:val="24"/>
        </w:rPr>
        <w:t>6</w:t>
      </w:r>
      <w:r w:rsidR="00960722">
        <w:rPr>
          <w:rFonts w:ascii="Arial" w:hAnsi="Arial" w:cs="Arial"/>
          <w:sz w:val="24"/>
          <w:szCs w:val="24"/>
        </w:rPr>
        <w:t>1</w:t>
      </w:r>
    </w:p>
    <w:p w:rsidR="00CF7A4A" w:rsidRPr="007C06B4" w:rsidRDefault="00CF7A4A" w:rsidP="00CF7A4A">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Pr>
          <w:sz w:val="24"/>
          <w:szCs w:val="24"/>
        </w:rPr>
        <w:t>Plan ve Bütçe Komisyonu</w:t>
      </w:r>
      <w:r w:rsidR="00F251BC">
        <w:rPr>
          <w:sz w:val="24"/>
          <w:szCs w:val="24"/>
        </w:rPr>
        <w:t xml:space="preserve">, Toplumsal Adalet ve Cinsiyet </w:t>
      </w:r>
      <w:r w:rsidR="00F251BC">
        <w:rPr>
          <w:sz w:val="24"/>
          <w:szCs w:val="24"/>
        </w:rPr>
        <w:tab/>
      </w:r>
      <w:r w:rsidR="00F251BC">
        <w:rPr>
          <w:sz w:val="24"/>
          <w:szCs w:val="24"/>
        </w:rPr>
        <w:tab/>
      </w:r>
      <w:r w:rsidR="00F251BC">
        <w:rPr>
          <w:sz w:val="24"/>
          <w:szCs w:val="24"/>
        </w:rPr>
        <w:tab/>
        <w:t>Eşitliği Komisyonu</w:t>
      </w:r>
    </w:p>
    <w:p w:rsidR="00F251BC" w:rsidRDefault="00CF7A4A" w:rsidP="00CF7A4A">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CF7A4A" w:rsidRDefault="00F251BC" w:rsidP="00CF7A4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Güney Nihat GEDİK, Fahrettin KILINÇ</w:t>
      </w:r>
      <w:r w:rsidR="00CF7A4A" w:rsidRPr="007C06B4">
        <w:rPr>
          <w:sz w:val="24"/>
          <w:szCs w:val="24"/>
        </w:rPr>
        <w:tab/>
      </w:r>
      <w:r w:rsidR="00CF7A4A" w:rsidRPr="007C06B4">
        <w:rPr>
          <w:sz w:val="24"/>
          <w:szCs w:val="24"/>
        </w:rPr>
        <w:tab/>
      </w:r>
    </w:p>
    <w:p w:rsidR="00CF7A4A" w:rsidRDefault="00CF7A4A" w:rsidP="00CF7A4A">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sidRPr="007C06B4">
        <w:rPr>
          <w:sz w:val="24"/>
          <w:szCs w:val="24"/>
        </w:rPr>
        <w:t>07/10/2021</w:t>
      </w:r>
    </w:p>
    <w:p w:rsidR="00CF7A4A" w:rsidRDefault="00CF7A4A" w:rsidP="00CF7A4A">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 xml:space="preserve">Belediye Meclisinin  04.10.2021 tarih ve 161 sayılı meclis ara kararı ile Komisyonlarımıza müştereken ortak havale edilen 2022 Mali Yılı Vergi Harç ve Ücret Tarife taslağı üzerinde  gerekli çalışma ve incelemeler yapılarak, tarifenin idareden geldiği şekliyle kabulüne komisyonlarımızca oy birliği ile karar verildi. </w:t>
      </w: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CF7A4A">
      <w:pPr>
        <w:tabs>
          <w:tab w:val="left" w:pos="3402"/>
          <w:tab w:val="left" w:pos="3686"/>
        </w:tabs>
        <w:spacing w:after="120" w:line="240" w:lineRule="auto"/>
        <w:jc w:val="both"/>
        <w:rPr>
          <w:rFonts w:ascii="Arial" w:hAnsi="Arial" w:cs="Arial"/>
          <w:sz w:val="24"/>
          <w:szCs w:val="24"/>
        </w:rPr>
      </w:pPr>
    </w:p>
    <w:p w:rsidR="007523EA" w:rsidRDefault="007523EA" w:rsidP="007523EA">
      <w:pPr>
        <w:tabs>
          <w:tab w:val="left" w:pos="3402"/>
          <w:tab w:val="left" w:pos="3686"/>
        </w:tabs>
        <w:spacing w:after="120" w:line="240" w:lineRule="auto"/>
        <w:jc w:val="both"/>
        <w:rPr>
          <w:rFonts w:ascii="Arial" w:hAnsi="Arial" w:cs="Arial"/>
          <w:b/>
          <w:sz w:val="24"/>
          <w:szCs w:val="24"/>
        </w:rPr>
      </w:pPr>
    </w:p>
    <w:p w:rsidR="007523EA" w:rsidRPr="007523EA" w:rsidRDefault="007523EA" w:rsidP="007523EA">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RAPOR NO</w:t>
      </w:r>
      <w:r w:rsidRPr="007C06B4">
        <w:rPr>
          <w:rFonts w:ascii="Arial" w:hAnsi="Arial" w:cs="Arial"/>
          <w:b/>
          <w:sz w:val="24"/>
          <w:szCs w:val="24"/>
        </w:rPr>
        <w:tab/>
        <w:t>:</w:t>
      </w:r>
      <w:r w:rsidRPr="007C06B4">
        <w:rPr>
          <w:rFonts w:ascii="Arial" w:hAnsi="Arial" w:cs="Arial"/>
          <w:b/>
          <w:sz w:val="24"/>
          <w:szCs w:val="24"/>
        </w:rPr>
        <w:tab/>
      </w:r>
      <w:r w:rsidRPr="007523EA">
        <w:rPr>
          <w:rFonts w:ascii="Arial" w:hAnsi="Arial" w:cs="Arial"/>
          <w:sz w:val="24"/>
          <w:szCs w:val="24"/>
        </w:rPr>
        <w:t>4</w:t>
      </w:r>
    </w:p>
    <w:p w:rsidR="007523EA" w:rsidRPr="007C06B4" w:rsidRDefault="007523EA" w:rsidP="007523E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GÜNDEM TARİHİ</w:t>
      </w:r>
      <w:r w:rsidRPr="007C06B4">
        <w:rPr>
          <w:rFonts w:ascii="Arial" w:hAnsi="Arial" w:cs="Arial"/>
          <w:b/>
          <w:sz w:val="24"/>
          <w:szCs w:val="24"/>
        </w:rPr>
        <w:tab/>
        <w:t>:</w:t>
      </w:r>
      <w:r w:rsidRPr="007C06B4">
        <w:rPr>
          <w:rFonts w:ascii="Arial" w:hAnsi="Arial" w:cs="Arial"/>
          <w:b/>
          <w:sz w:val="24"/>
          <w:szCs w:val="24"/>
        </w:rPr>
        <w:tab/>
      </w:r>
      <w:r>
        <w:rPr>
          <w:rFonts w:ascii="Arial" w:hAnsi="Arial" w:cs="Arial"/>
          <w:sz w:val="24"/>
          <w:szCs w:val="24"/>
        </w:rPr>
        <w:t>22</w:t>
      </w:r>
      <w:r w:rsidRPr="007C06B4">
        <w:rPr>
          <w:rFonts w:ascii="Arial" w:hAnsi="Arial" w:cs="Arial"/>
          <w:sz w:val="24"/>
          <w:szCs w:val="24"/>
        </w:rPr>
        <w:t>/10/2021</w:t>
      </w:r>
    </w:p>
    <w:p w:rsidR="007523EA" w:rsidRPr="007C06B4" w:rsidRDefault="007523EA" w:rsidP="007523EA">
      <w:pPr>
        <w:tabs>
          <w:tab w:val="left" w:pos="3402"/>
          <w:tab w:val="left" w:pos="3686"/>
        </w:tabs>
        <w:spacing w:after="120" w:line="240" w:lineRule="auto"/>
        <w:jc w:val="both"/>
        <w:rPr>
          <w:rFonts w:ascii="Arial" w:hAnsi="Arial" w:cs="Arial"/>
          <w:sz w:val="24"/>
          <w:szCs w:val="24"/>
        </w:rPr>
      </w:pPr>
      <w:r w:rsidRPr="007C06B4">
        <w:rPr>
          <w:rFonts w:ascii="Arial" w:hAnsi="Arial" w:cs="Arial"/>
          <w:b/>
          <w:sz w:val="24"/>
          <w:szCs w:val="24"/>
        </w:rPr>
        <w:t>GÜNDEM SIRA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w:t>
      </w:r>
      <w:r>
        <w:rPr>
          <w:rFonts w:ascii="Arial" w:hAnsi="Arial" w:cs="Arial"/>
          <w:sz w:val="24"/>
          <w:szCs w:val="24"/>
        </w:rPr>
        <w:t>6</w:t>
      </w:r>
    </w:p>
    <w:p w:rsidR="007523EA" w:rsidRPr="007C06B4" w:rsidRDefault="007523EA" w:rsidP="007523E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 xml:space="preserve">ARA KARAR TARİHİ </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04/10/2021</w:t>
      </w:r>
    </w:p>
    <w:p w:rsidR="007523EA" w:rsidRPr="007C06B4" w:rsidRDefault="007523EA" w:rsidP="007523EA">
      <w:pPr>
        <w:tabs>
          <w:tab w:val="left" w:pos="3402"/>
          <w:tab w:val="left" w:pos="3686"/>
        </w:tabs>
        <w:spacing w:after="120" w:line="240" w:lineRule="auto"/>
        <w:jc w:val="both"/>
        <w:rPr>
          <w:rFonts w:ascii="Arial" w:hAnsi="Arial" w:cs="Arial"/>
          <w:b/>
          <w:sz w:val="24"/>
          <w:szCs w:val="24"/>
        </w:rPr>
      </w:pPr>
      <w:r w:rsidRPr="007C06B4">
        <w:rPr>
          <w:rFonts w:ascii="Arial" w:hAnsi="Arial" w:cs="Arial"/>
          <w:b/>
          <w:sz w:val="24"/>
          <w:szCs w:val="24"/>
        </w:rPr>
        <w:t>ARA KARAR NO</w:t>
      </w:r>
      <w:r w:rsidRPr="007C06B4">
        <w:rPr>
          <w:rFonts w:ascii="Arial" w:hAnsi="Arial" w:cs="Arial"/>
          <w:b/>
          <w:sz w:val="24"/>
          <w:szCs w:val="24"/>
        </w:rPr>
        <w:tab/>
        <w:t>:</w:t>
      </w:r>
      <w:r w:rsidRPr="007C06B4">
        <w:rPr>
          <w:rFonts w:ascii="Arial" w:hAnsi="Arial" w:cs="Arial"/>
          <w:b/>
          <w:sz w:val="24"/>
          <w:szCs w:val="24"/>
        </w:rPr>
        <w:tab/>
      </w:r>
      <w:r w:rsidRPr="007C06B4">
        <w:rPr>
          <w:rFonts w:ascii="Arial" w:hAnsi="Arial" w:cs="Arial"/>
          <w:sz w:val="24"/>
          <w:szCs w:val="24"/>
        </w:rPr>
        <w:t>1</w:t>
      </w:r>
      <w:r>
        <w:rPr>
          <w:rFonts w:ascii="Arial" w:hAnsi="Arial" w:cs="Arial"/>
          <w:sz w:val="24"/>
          <w:szCs w:val="24"/>
        </w:rPr>
        <w:t>6</w:t>
      </w:r>
      <w:r w:rsidR="00960722">
        <w:rPr>
          <w:rFonts w:ascii="Arial" w:hAnsi="Arial" w:cs="Arial"/>
          <w:sz w:val="24"/>
          <w:szCs w:val="24"/>
        </w:rPr>
        <w:t>6</w:t>
      </w:r>
    </w:p>
    <w:p w:rsidR="007523EA" w:rsidRPr="007C06B4" w:rsidRDefault="007523EA" w:rsidP="007523EA">
      <w:pPr>
        <w:tabs>
          <w:tab w:val="left" w:pos="3402"/>
          <w:tab w:val="left" w:pos="3686"/>
        </w:tabs>
        <w:spacing w:after="120" w:line="240" w:lineRule="auto"/>
        <w:jc w:val="both"/>
        <w:rPr>
          <w:sz w:val="24"/>
          <w:szCs w:val="24"/>
        </w:rPr>
      </w:pPr>
      <w:r w:rsidRPr="007C06B4">
        <w:rPr>
          <w:rFonts w:ascii="Arial" w:hAnsi="Arial" w:cs="Arial"/>
          <w:b/>
          <w:sz w:val="24"/>
          <w:szCs w:val="24"/>
        </w:rPr>
        <w:t>KOMİSYON ADI</w:t>
      </w:r>
      <w:r w:rsidRPr="007C06B4">
        <w:rPr>
          <w:b/>
          <w:sz w:val="24"/>
          <w:szCs w:val="24"/>
        </w:rPr>
        <w:tab/>
        <w:t>:</w:t>
      </w:r>
      <w:r w:rsidRPr="007C06B4">
        <w:rPr>
          <w:b/>
          <w:sz w:val="24"/>
          <w:szCs w:val="24"/>
        </w:rPr>
        <w:tab/>
      </w:r>
      <w:r w:rsidR="00960722">
        <w:rPr>
          <w:sz w:val="24"/>
          <w:szCs w:val="24"/>
        </w:rPr>
        <w:t>İmar</w:t>
      </w:r>
      <w:r>
        <w:rPr>
          <w:sz w:val="24"/>
          <w:szCs w:val="24"/>
        </w:rPr>
        <w:t xml:space="preserve"> Komisyonu, </w:t>
      </w:r>
      <w:r w:rsidR="00960722">
        <w:rPr>
          <w:sz w:val="24"/>
          <w:szCs w:val="24"/>
        </w:rPr>
        <w:t>Sosyal Yardım ve Hizmetler Komisyonu</w:t>
      </w:r>
    </w:p>
    <w:p w:rsidR="007523EA" w:rsidRDefault="007523EA" w:rsidP="007523EA">
      <w:pPr>
        <w:tabs>
          <w:tab w:val="left" w:pos="3402"/>
          <w:tab w:val="left" w:pos="3686"/>
        </w:tabs>
        <w:spacing w:after="120" w:line="240" w:lineRule="auto"/>
        <w:jc w:val="both"/>
        <w:rPr>
          <w:sz w:val="24"/>
          <w:szCs w:val="24"/>
        </w:rPr>
      </w:pPr>
      <w:r w:rsidRPr="007C06B4">
        <w:rPr>
          <w:b/>
          <w:sz w:val="24"/>
          <w:szCs w:val="24"/>
        </w:rPr>
        <w:t>KOMİSYON ÜYELERİ İSİMLERİ</w:t>
      </w:r>
      <w:r w:rsidRPr="007C06B4">
        <w:rPr>
          <w:b/>
          <w:sz w:val="24"/>
          <w:szCs w:val="24"/>
        </w:rPr>
        <w:tab/>
        <w:t>:</w:t>
      </w:r>
      <w:r w:rsidRPr="007C06B4">
        <w:rPr>
          <w:b/>
          <w:sz w:val="24"/>
          <w:szCs w:val="24"/>
        </w:rPr>
        <w:tab/>
      </w:r>
      <w:r w:rsidR="0058209F">
        <w:rPr>
          <w:b/>
          <w:sz w:val="24"/>
          <w:szCs w:val="24"/>
        </w:rPr>
        <w:t xml:space="preserve">İmar Komisyonu: </w:t>
      </w:r>
      <w:r w:rsidR="0058209F">
        <w:rPr>
          <w:sz w:val="24"/>
          <w:szCs w:val="24"/>
        </w:rPr>
        <w:t xml:space="preserve">Musa TAŞ(Kom. Başk), Hasan </w:t>
      </w:r>
      <w:r w:rsidR="0058209F">
        <w:rPr>
          <w:sz w:val="24"/>
          <w:szCs w:val="24"/>
        </w:rPr>
        <w:tab/>
      </w:r>
      <w:r w:rsidR="0058209F">
        <w:rPr>
          <w:sz w:val="24"/>
          <w:szCs w:val="24"/>
        </w:rPr>
        <w:tab/>
      </w:r>
      <w:r w:rsidR="0058209F">
        <w:rPr>
          <w:sz w:val="24"/>
          <w:szCs w:val="24"/>
        </w:rPr>
        <w:tab/>
      </w:r>
      <w:r w:rsidR="0058209F">
        <w:rPr>
          <w:sz w:val="24"/>
          <w:szCs w:val="24"/>
        </w:rPr>
        <w:tab/>
        <w:t xml:space="preserve">ÖZCAN(Kom.Başk. V), Haydar ÖZDEMİR, Sevgi UĞURLU, Fuat </w:t>
      </w:r>
      <w:r w:rsidR="0058209F">
        <w:rPr>
          <w:sz w:val="24"/>
          <w:szCs w:val="24"/>
        </w:rPr>
        <w:tab/>
      </w:r>
      <w:r w:rsidR="0058209F">
        <w:rPr>
          <w:sz w:val="24"/>
          <w:szCs w:val="24"/>
        </w:rPr>
        <w:tab/>
        <w:t>AKBAŞ</w:t>
      </w:r>
    </w:p>
    <w:p w:rsidR="007523EA" w:rsidRDefault="007523EA" w:rsidP="007523EA">
      <w:pPr>
        <w:tabs>
          <w:tab w:val="left" w:pos="3402"/>
          <w:tab w:val="left" w:pos="3686"/>
        </w:tabs>
        <w:spacing w:after="120" w:line="240" w:lineRule="auto"/>
        <w:jc w:val="both"/>
        <w:rPr>
          <w:sz w:val="24"/>
          <w:szCs w:val="24"/>
        </w:rPr>
      </w:pPr>
      <w:r>
        <w:rPr>
          <w:sz w:val="24"/>
          <w:szCs w:val="24"/>
        </w:rPr>
        <w:tab/>
      </w:r>
      <w:r>
        <w:rPr>
          <w:sz w:val="24"/>
          <w:szCs w:val="24"/>
        </w:rPr>
        <w:tab/>
      </w:r>
      <w:r w:rsidR="00722A75">
        <w:rPr>
          <w:b/>
          <w:sz w:val="24"/>
          <w:szCs w:val="24"/>
        </w:rPr>
        <w:t>Sosyal Yardım ve Hizmetler Komisyonu,:</w:t>
      </w:r>
      <w:r w:rsidR="00722A75">
        <w:rPr>
          <w:sz w:val="24"/>
          <w:szCs w:val="24"/>
        </w:rPr>
        <w:t xml:space="preserve"> Harun GÖKALP </w:t>
      </w:r>
      <w:r w:rsidR="00722A75">
        <w:rPr>
          <w:sz w:val="24"/>
          <w:szCs w:val="24"/>
        </w:rPr>
        <w:tab/>
      </w:r>
      <w:r w:rsidR="00722A75">
        <w:rPr>
          <w:sz w:val="24"/>
          <w:szCs w:val="24"/>
        </w:rPr>
        <w:tab/>
        <w:t xml:space="preserve">(Kom.Başk), Vahap DÜZOVA(Kom. Başk. V.), Şenol IŞIK, </w:t>
      </w:r>
      <w:r w:rsidR="00722A75">
        <w:rPr>
          <w:sz w:val="24"/>
          <w:szCs w:val="24"/>
        </w:rPr>
        <w:tab/>
      </w:r>
      <w:r w:rsidR="00722A75">
        <w:rPr>
          <w:sz w:val="24"/>
          <w:szCs w:val="24"/>
        </w:rPr>
        <w:tab/>
      </w:r>
      <w:r w:rsidR="00722A75">
        <w:rPr>
          <w:sz w:val="24"/>
          <w:szCs w:val="24"/>
        </w:rPr>
        <w:tab/>
        <w:t>Mehmet YEŞİL, Semra TEKELİ</w:t>
      </w:r>
      <w:r w:rsidRPr="007C06B4">
        <w:rPr>
          <w:sz w:val="24"/>
          <w:szCs w:val="24"/>
        </w:rPr>
        <w:tab/>
      </w:r>
      <w:r w:rsidRPr="007C06B4">
        <w:rPr>
          <w:sz w:val="24"/>
          <w:szCs w:val="24"/>
        </w:rPr>
        <w:tab/>
      </w:r>
    </w:p>
    <w:p w:rsidR="007523EA" w:rsidRDefault="007523EA" w:rsidP="007523EA">
      <w:pPr>
        <w:tabs>
          <w:tab w:val="left" w:pos="3402"/>
          <w:tab w:val="left" w:pos="3686"/>
        </w:tabs>
        <w:spacing w:after="120" w:line="240" w:lineRule="auto"/>
        <w:jc w:val="both"/>
        <w:rPr>
          <w:sz w:val="24"/>
          <w:szCs w:val="24"/>
        </w:rPr>
      </w:pPr>
      <w:r w:rsidRPr="007C06B4">
        <w:rPr>
          <w:b/>
          <w:sz w:val="24"/>
          <w:szCs w:val="24"/>
        </w:rPr>
        <w:t>KOMİSYON RAPORU TARİHİ</w:t>
      </w:r>
      <w:r w:rsidRPr="007C06B4">
        <w:rPr>
          <w:b/>
          <w:sz w:val="24"/>
          <w:szCs w:val="24"/>
        </w:rPr>
        <w:tab/>
        <w:t xml:space="preserve">:    </w:t>
      </w:r>
      <w:r>
        <w:rPr>
          <w:sz w:val="24"/>
          <w:szCs w:val="24"/>
        </w:rPr>
        <w:t>21</w:t>
      </w:r>
      <w:r w:rsidRPr="007C06B4">
        <w:rPr>
          <w:sz w:val="24"/>
          <w:szCs w:val="24"/>
        </w:rPr>
        <w:t>/10/2021</w:t>
      </w:r>
    </w:p>
    <w:p w:rsidR="007523EA" w:rsidRDefault="007523EA" w:rsidP="007523EA">
      <w:pPr>
        <w:tabs>
          <w:tab w:val="left" w:pos="3402"/>
          <w:tab w:val="left" w:pos="3686"/>
        </w:tabs>
        <w:spacing w:after="120" w:line="240" w:lineRule="auto"/>
        <w:jc w:val="both"/>
        <w:rPr>
          <w:rFonts w:ascii="Arial" w:hAnsi="Arial" w:cs="Arial"/>
          <w:b/>
          <w:sz w:val="12"/>
          <w:szCs w:val="12"/>
        </w:rPr>
      </w:pPr>
      <w:r w:rsidRPr="007C06B4">
        <w:rPr>
          <w:rFonts w:ascii="Arial" w:hAnsi="Arial" w:cs="Arial"/>
          <w:b/>
          <w:sz w:val="24"/>
          <w:szCs w:val="24"/>
        </w:rPr>
        <w:t>KOMİSYON RAPORU</w:t>
      </w:r>
      <w:r w:rsidRPr="007C06B4">
        <w:rPr>
          <w:rFonts w:ascii="Arial" w:hAnsi="Arial" w:cs="Arial"/>
          <w:b/>
          <w:sz w:val="24"/>
          <w:szCs w:val="24"/>
        </w:rPr>
        <w:tab/>
        <w:t>:</w:t>
      </w:r>
      <w:r w:rsidRPr="007C06B4">
        <w:rPr>
          <w:rFonts w:ascii="Arial" w:hAnsi="Arial" w:cs="Arial"/>
          <w:b/>
          <w:sz w:val="24"/>
          <w:szCs w:val="24"/>
        </w:rPr>
        <w:tab/>
      </w:r>
      <w:r>
        <w:rPr>
          <w:rFonts w:ascii="Arial" w:hAnsi="Arial" w:cs="Arial"/>
        </w:rPr>
        <w:t>Tema Vakfı Mersin İl Temsilciliği'nin talebi doğrultusunda  01/02/2016 tarih ve 15 sayılı meclis kararı ile yapılan tahsisin kaldırılması ile ilgili teklif Yenişehir Belediyesi Meclisinin 04.10.2021 tarih ve 166 sayılı ara kararı ile komisyonlarımıza müştereken havale edilmiştir.</w:t>
      </w:r>
    </w:p>
    <w:p w:rsidR="007523EA" w:rsidRDefault="007523EA" w:rsidP="004419A8">
      <w:pPr>
        <w:ind w:firstLine="885"/>
        <w:jc w:val="both"/>
        <w:rPr>
          <w:rFonts w:ascii="Arial" w:hAnsi="Arial" w:cs="Arial"/>
          <w:sz w:val="24"/>
          <w:szCs w:val="24"/>
        </w:rPr>
      </w:pPr>
      <w:r>
        <w:rPr>
          <w:rFonts w:ascii="Arial" w:hAnsi="Arial" w:cs="Arial"/>
        </w:rPr>
        <w:t xml:space="preserve">Mülkiyeti Belediyemize ait Bahçe 19-K-IV,19-K-III pafta,  11394 ada, 1 nolu parsel, 1/1000 ölçekli imar planında Belediye Hizmet Alanına isabet etmekte olup, TEMA Vakfı Mersin İl Temsilciliğine Yenişehir Belediye Meclisinin 01/02/2016 tarih ve 15 sayılı kararı ile 10 yıl süre ile bedelsiz olarak tahsis edilmiş olup, Yenişehir Belediyesi ile TEMA Vakfı Mersin İl Temsilciliği arasında da 26/04/2016 tarihinde protokol imzalanmıştır.  TEMA Vakfı Mersin İl Temsilciliği tarafından belediyemize verilen 27/09/2021 tarih ve 30332 sayılı dilekçesi ile artan gönüllü sayısı ve artan faaliyetleri nedeniyle parsel içerisinde bulunan binanın ihtiyaçları karşılayamaz hale geldiğinden tahsisin kaldırılması ve protokolün iptali talep edilmiştir. Söz konusu protokolün 5.Maddesinin 5.2 fıkrasında ''Protokol süresi bitmeden önce TEMA Vakfının talebi halinde söz konusu taşınmazın tahsisi Yenişehir Belediyesi tarafından yeniden değerlendirilir.'' denilmektedir.Komisyonlarımızca birlikte teklifin incelenmesi ve değerlendirilmesi neticesinde: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1/1000 ölçekli imar planında Belediye Hizmet Alanına isabet eden Bahçe 19-K-IV - 19-K-III pafta,  11394 ada, 1 nolu parselin  TEMA Vakfı Mersin İl Temsilciliğinin talebi doğrultusunda, Belediye Meclisinin 01/02/2016 tarih ve 15 sayılı kararı ile yapılan tahsisin kaldırılması ile ilgili teklifin kabulüne komisyonlarımızca oy birliği ile karar verildi.  </w:t>
      </w:r>
    </w:p>
    <w:p w:rsidR="007523EA" w:rsidRPr="00CF7A4A" w:rsidRDefault="007523EA" w:rsidP="00CF7A4A">
      <w:pPr>
        <w:tabs>
          <w:tab w:val="left" w:pos="3402"/>
          <w:tab w:val="left" w:pos="3686"/>
        </w:tabs>
        <w:spacing w:after="120" w:line="240" w:lineRule="auto"/>
        <w:jc w:val="both"/>
        <w:rPr>
          <w:sz w:val="24"/>
          <w:szCs w:val="24"/>
        </w:rPr>
      </w:pPr>
    </w:p>
    <w:sectPr w:rsidR="007523EA" w:rsidRPr="00CF7A4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A4" w:rsidRDefault="003005A4" w:rsidP="00C30551">
      <w:pPr>
        <w:spacing w:after="0" w:line="240" w:lineRule="auto"/>
      </w:pPr>
      <w:r>
        <w:separator/>
      </w:r>
    </w:p>
  </w:endnote>
  <w:endnote w:type="continuationSeparator" w:id="1">
    <w:p w:rsidR="003005A4" w:rsidRDefault="003005A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A4" w:rsidRDefault="003005A4" w:rsidP="00C30551">
      <w:pPr>
        <w:spacing w:after="0" w:line="240" w:lineRule="auto"/>
      </w:pPr>
      <w:r>
        <w:separator/>
      </w:r>
    </w:p>
  </w:footnote>
  <w:footnote w:type="continuationSeparator" w:id="1">
    <w:p w:rsidR="003005A4" w:rsidRDefault="003005A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B65B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56386"/>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178"/>
    <w:rsid w:val="000C76CA"/>
    <w:rsid w:val="000D16FD"/>
    <w:rsid w:val="000D2271"/>
    <w:rsid w:val="000D33EC"/>
    <w:rsid w:val="000D5BAE"/>
    <w:rsid w:val="000D6EEE"/>
    <w:rsid w:val="000E20E9"/>
    <w:rsid w:val="000E4987"/>
    <w:rsid w:val="000E5ED2"/>
    <w:rsid w:val="000E5F31"/>
    <w:rsid w:val="000E66FB"/>
    <w:rsid w:val="000E6B3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22A8"/>
    <w:rsid w:val="00236420"/>
    <w:rsid w:val="002372FA"/>
    <w:rsid w:val="00237B01"/>
    <w:rsid w:val="002405E2"/>
    <w:rsid w:val="00241F10"/>
    <w:rsid w:val="00242864"/>
    <w:rsid w:val="002433F1"/>
    <w:rsid w:val="002472B7"/>
    <w:rsid w:val="00250C9A"/>
    <w:rsid w:val="00251EE8"/>
    <w:rsid w:val="0025425D"/>
    <w:rsid w:val="002556CE"/>
    <w:rsid w:val="0026141C"/>
    <w:rsid w:val="00261DB1"/>
    <w:rsid w:val="00262215"/>
    <w:rsid w:val="00263AAB"/>
    <w:rsid w:val="00263EBD"/>
    <w:rsid w:val="002679F3"/>
    <w:rsid w:val="0027182C"/>
    <w:rsid w:val="00275EB6"/>
    <w:rsid w:val="00281C35"/>
    <w:rsid w:val="0028461F"/>
    <w:rsid w:val="0028532D"/>
    <w:rsid w:val="0028537A"/>
    <w:rsid w:val="002858F7"/>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05A4"/>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D78B1"/>
    <w:rsid w:val="006E087A"/>
    <w:rsid w:val="006E0952"/>
    <w:rsid w:val="006E310A"/>
    <w:rsid w:val="006E427A"/>
    <w:rsid w:val="006E461C"/>
    <w:rsid w:val="006E5904"/>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A75"/>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3DD3"/>
    <w:rsid w:val="0091496B"/>
    <w:rsid w:val="00914E35"/>
    <w:rsid w:val="00914F45"/>
    <w:rsid w:val="00915405"/>
    <w:rsid w:val="00916760"/>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D0C"/>
    <w:rsid w:val="009536A1"/>
    <w:rsid w:val="00953CF1"/>
    <w:rsid w:val="00956AFF"/>
    <w:rsid w:val="00960722"/>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1F54"/>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87B72"/>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4D0"/>
    <w:rsid w:val="00DE6052"/>
    <w:rsid w:val="00DE7F0D"/>
    <w:rsid w:val="00DF13DE"/>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5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5846</TotalTime>
  <Pages>1</Pages>
  <Words>1259</Words>
  <Characters>7178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905</cp:revision>
  <cp:lastPrinted>2022-03-03T13:31:00Z</cp:lastPrinted>
  <dcterms:created xsi:type="dcterms:W3CDTF">2018-12-28T06:43:00Z</dcterms:created>
  <dcterms:modified xsi:type="dcterms:W3CDTF">2022-03-03T13:31:00Z</dcterms:modified>
</cp:coreProperties>
</file>