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9C3" w:rsidRDefault="00AD59C3" w:rsidP="00AD59C3">
      <w:pPr>
        <w:pStyle w:val="KonuBal"/>
        <w:jc w:val="center"/>
        <w:rPr>
          <w:sz w:val="20"/>
        </w:rPr>
      </w:pPr>
      <w:r>
        <w:rPr>
          <w:sz w:val="20"/>
        </w:rPr>
        <w:t>YENİŞEHİR BELEDİYE BAŞKANLIĞINDAN</w:t>
      </w:r>
    </w:p>
    <w:p w:rsidR="00AD59C3" w:rsidRPr="00AD59C3" w:rsidRDefault="00AD59C3" w:rsidP="00AD59C3">
      <w:pPr>
        <w:pStyle w:val="GvdeMetniGirintisi"/>
        <w:tabs>
          <w:tab w:val="right" w:pos="9638"/>
        </w:tabs>
        <w:rPr>
          <w:rFonts w:cs="Arial"/>
          <w:sz w:val="22"/>
          <w:szCs w:val="22"/>
          <w:u w:val="single"/>
        </w:rPr>
      </w:pPr>
      <w:r>
        <w:rPr>
          <w:sz w:val="22"/>
          <w:szCs w:val="22"/>
        </w:rPr>
        <w:t>Belediye Meclisimiz ekli gündemi görüşmek üzere 5393 Sayılı Belediye Kanununun 20. maddesine göre 07.04.2023 Cuma günü saat 14.00’de</w:t>
      </w:r>
      <w:r>
        <w:rPr>
          <w:b/>
          <w:sz w:val="22"/>
          <w:szCs w:val="22"/>
        </w:rPr>
        <w:t xml:space="preserve"> </w:t>
      </w:r>
      <w:r>
        <w:rPr>
          <w:rFonts w:cs="Arial"/>
          <w:sz w:val="22"/>
          <w:szCs w:val="22"/>
        </w:rPr>
        <w:t xml:space="preserve">Atatürk Kültür Merkezi </w:t>
      </w:r>
      <w:r w:rsidRPr="00AD59C3">
        <w:rPr>
          <w:rFonts w:cs="Arial"/>
          <w:sz w:val="22"/>
          <w:szCs w:val="22"/>
        </w:rPr>
        <w:t>Özgürlük Salonunda</w:t>
      </w:r>
      <w:r w:rsidRPr="00AD59C3">
        <w:rPr>
          <w:rFonts w:cs="Arial"/>
          <w:sz w:val="22"/>
          <w:szCs w:val="22"/>
          <w:u w:val="single"/>
        </w:rPr>
        <w:t xml:space="preserve"> toplanacaktır. Duyurulur                                                                                                    </w:t>
      </w:r>
      <w:r>
        <w:rPr>
          <w:rFonts w:cs="Arial"/>
          <w:sz w:val="22"/>
          <w:szCs w:val="22"/>
          <w:u w:val="single"/>
        </w:rPr>
        <w:t xml:space="preserve">                  </w:t>
      </w:r>
      <w:r w:rsidRPr="00AD59C3">
        <w:rPr>
          <w:rFonts w:cs="Arial"/>
          <w:sz w:val="22"/>
          <w:szCs w:val="22"/>
          <w:u w:val="single"/>
        </w:rPr>
        <w:t>:</w:t>
      </w:r>
    </w:p>
    <w:p w:rsidR="00AD59C3" w:rsidRDefault="00AD59C3" w:rsidP="00AD59C3">
      <w:pPr>
        <w:tabs>
          <w:tab w:val="left" w:pos="709"/>
          <w:tab w:val="left" w:pos="9498"/>
        </w:tabs>
        <w:ind w:left="709" w:hanging="567"/>
        <w:jc w:val="both"/>
        <w:rPr>
          <w:rFonts w:ascii="Arial" w:hAnsi="Arial" w:cs="Arial"/>
          <w:sz w:val="22"/>
          <w:szCs w:val="22"/>
        </w:rPr>
      </w:pPr>
    </w:p>
    <w:p w:rsidR="00266C8C" w:rsidRDefault="00266C8C" w:rsidP="00266C8C">
      <w:pPr>
        <w:tabs>
          <w:tab w:val="left" w:pos="9498"/>
        </w:tabs>
        <w:ind w:left="284" w:hanging="284"/>
        <w:jc w:val="both"/>
        <w:rPr>
          <w:rFonts w:ascii="Arial" w:hAnsi="Arial" w:cs="Arial"/>
          <w:sz w:val="24"/>
          <w:szCs w:val="24"/>
          <w:u w:val="single"/>
        </w:rPr>
      </w:pPr>
    </w:p>
    <w:p w:rsidR="00266C8C" w:rsidRDefault="00266C8C" w:rsidP="00266C8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Yoklama ve açılış</w:t>
      </w:r>
    </w:p>
    <w:p w:rsidR="00266C8C" w:rsidRDefault="00266C8C" w:rsidP="00266C8C">
      <w:pPr>
        <w:tabs>
          <w:tab w:val="left" w:pos="567"/>
        </w:tabs>
        <w:ind w:left="567" w:hanging="425"/>
        <w:jc w:val="both"/>
        <w:rPr>
          <w:rFonts w:ascii="Arial" w:hAnsi="Arial" w:cs="Arial"/>
          <w:sz w:val="24"/>
          <w:szCs w:val="24"/>
        </w:rPr>
      </w:pPr>
      <w:r>
        <w:rPr>
          <w:rFonts w:ascii="Arial" w:hAnsi="Arial" w:cs="Arial"/>
          <w:sz w:val="24"/>
          <w:szCs w:val="24"/>
        </w:rPr>
        <w:t xml:space="preserve">  </w:t>
      </w:r>
    </w:p>
    <w:p w:rsidR="00266C8C" w:rsidRDefault="00266C8C" w:rsidP="00266C8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 xml:space="preserve">Bir önceki birleşim tutanak özetinin okunması. </w:t>
      </w:r>
    </w:p>
    <w:p w:rsidR="00266C8C" w:rsidRDefault="00266C8C" w:rsidP="00266C8C">
      <w:pPr>
        <w:tabs>
          <w:tab w:val="left" w:pos="567"/>
        </w:tabs>
        <w:ind w:left="567"/>
        <w:jc w:val="both"/>
        <w:rPr>
          <w:rFonts w:ascii="Arial" w:hAnsi="Arial" w:cs="Arial"/>
          <w:sz w:val="24"/>
          <w:szCs w:val="24"/>
        </w:rPr>
      </w:pPr>
    </w:p>
    <w:p w:rsidR="00266C8C" w:rsidRDefault="00266C8C" w:rsidP="00266C8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2022 Yılı Faaliyet Raporu ile ilgili teklife ait Plan ve Bütçe Komisyonu, Proje Geliştirme Avrupa Birliği ve Dış İlişkiler Komisyonu ile Ekonomik Hayatın Geliştirilmesi Komisyonu ortak raporunun görüşülmesi.</w:t>
      </w:r>
    </w:p>
    <w:p w:rsidR="00266C8C" w:rsidRDefault="00266C8C" w:rsidP="00266C8C">
      <w:pPr>
        <w:tabs>
          <w:tab w:val="left" w:pos="567"/>
        </w:tabs>
        <w:ind w:left="567"/>
        <w:jc w:val="both"/>
        <w:rPr>
          <w:rFonts w:ascii="Arial" w:hAnsi="Arial" w:cs="Arial"/>
          <w:sz w:val="24"/>
          <w:szCs w:val="24"/>
        </w:rPr>
      </w:pPr>
    </w:p>
    <w:p w:rsidR="00266C8C" w:rsidRDefault="00266C8C" w:rsidP="00266C8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 xml:space="preserve">Belediye Meclisinin 04.07.2022 tarih ve 162 sayılı kararı ile belirlenen Yenişehir Belediyesi Misafirhane ve Konukevlerinin Ücret Tarifesinin yeniden belirlenmesi ile ilgili teklife ait Plan ve Bütçe Komisyonu, Kültür Sanat ve Turizm Komisyonu ortak raporunun görüşülmesi. </w:t>
      </w:r>
    </w:p>
    <w:p w:rsidR="00266C8C" w:rsidRDefault="00266C8C" w:rsidP="00266C8C">
      <w:pPr>
        <w:tabs>
          <w:tab w:val="left" w:pos="567"/>
        </w:tabs>
        <w:ind w:left="567"/>
        <w:jc w:val="both"/>
        <w:rPr>
          <w:rFonts w:ascii="Arial" w:hAnsi="Arial" w:cs="Arial"/>
          <w:sz w:val="24"/>
          <w:szCs w:val="24"/>
        </w:rPr>
      </w:pPr>
    </w:p>
    <w:p w:rsidR="00266C8C" w:rsidRDefault="00266C8C" w:rsidP="00266C8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Belediye hizmetlerini sürdürebilmek için oluşabilecek nakit ihtiyacının karşılanabilmesi amacıyla ve EYT kapsamında emekli olacak personellerimizin emekli ikramiyeleri ile tazminatlarının ödenmesinde kullanılmak üzere nakit ihtiyacının karşılanması amacı ile yurtiçi bankalarından iç borçlanma yapılabilmesi için Belediye Başkanına yetki verilmesi ile ilgili teklife ait Plan ve Bütçe Komisyonu raporunun görüşülmesi.</w:t>
      </w:r>
    </w:p>
    <w:p w:rsidR="00266C8C" w:rsidRDefault="00266C8C" w:rsidP="00266C8C">
      <w:pPr>
        <w:tabs>
          <w:tab w:val="left" w:pos="567"/>
        </w:tabs>
        <w:jc w:val="both"/>
        <w:rPr>
          <w:rFonts w:ascii="Arial" w:hAnsi="Arial" w:cs="Arial"/>
          <w:sz w:val="24"/>
          <w:szCs w:val="24"/>
        </w:rPr>
      </w:pPr>
    </w:p>
    <w:p w:rsidR="00266C8C" w:rsidRDefault="00266C8C" w:rsidP="00266C8C">
      <w:pPr>
        <w:numPr>
          <w:ilvl w:val="0"/>
          <w:numId w:val="1"/>
        </w:numPr>
        <w:jc w:val="both"/>
        <w:rPr>
          <w:rFonts w:ascii="Arial" w:hAnsi="Arial" w:cs="Arial"/>
          <w:sz w:val="24"/>
          <w:szCs w:val="24"/>
          <w:u w:val="single"/>
        </w:rPr>
      </w:pPr>
      <w:r>
        <w:rPr>
          <w:rFonts w:ascii="Arial" w:hAnsi="Arial" w:cs="Arial"/>
          <w:sz w:val="24"/>
          <w:szCs w:val="24"/>
        </w:rPr>
        <w:t xml:space="preserve">Vali Hüseyin Aksoy Caddesi 2843 Sokak bitişiğinde yapılan Bisiklet yoluna </w:t>
      </w:r>
      <w:proofErr w:type="spellStart"/>
      <w:r>
        <w:rPr>
          <w:rFonts w:ascii="Arial" w:hAnsi="Arial" w:cs="Arial"/>
          <w:sz w:val="24"/>
          <w:szCs w:val="24"/>
        </w:rPr>
        <w:t>Remziye</w:t>
      </w:r>
      <w:proofErr w:type="spellEnd"/>
      <w:r>
        <w:rPr>
          <w:rFonts w:ascii="Arial" w:hAnsi="Arial" w:cs="Arial"/>
          <w:sz w:val="24"/>
          <w:szCs w:val="24"/>
        </w:rPr>
        <w:t xml:space="preserve"> </w:t>
      </w:r>
      <w:proofErr w:type="spellStart"/>
      <w:r>
        <w:rPr>
          <w:rFonts w:ascii="Arial" w:hAnsi="Arial" w:cs="Arial"/>
          <w:sz w:val="24"/>
          <w:szCs w:val="24"/>
        </w:rPr>
        <w:t>Günay</w:t>
      </w:r>
      <w:proofErr w:type="spellEnd"/>
      <w:r>
        <w:rPr>
          <w:rFonts w:ascii="Arial" w:hAnsi="Arial" w:cs="Arial"/>
          <w:sz w:val="24"/>
          <w:szCs w:val="24"/>
        </w:rPr>
        <w:t xml:space="preserve"> ERYILMAZ adının verilmesi ile ilgili teklife ait Eğitim Gençlik ve Spor Komisyonu raporunun görüşülmesi.</w:t>
      </w:r>
    </w:p>
    <w:p w:rsidR="00266C8C" w:rsidRDefault="00266C8C" w:rsidP="00266C8C">
      <w:pPr>
        <w:ind w:left="502"/>
        <w:jc w:val="both"/>
        <w:rPr>
          <w:rFonts w:ascii="Arial" w:hAnsi="Arial" w:cs="Arial"/>
          <w:sz w:val="24"/>
          <w:szCs w:val="24"/>
        </w:rPr>
      </w:pPr>
    </w:p>
    <w:p w:rsidR="00266C8C" w:rsidRDefault="00266C8C" w:rsidP="00266C8C">
      <w:pPr>
        <w:tabs>
          <w:tab w:val="left" w:pos="567"/>
        </w:tabs>
        <w:ind w:left="567"/>
        <w:jc w:val="both"/>
        <w:rPr>
          <w:rFonts w:ascii="Arial" w:hAnsi="Arial" w:cs="Arial"/>
          <w:color w:val="FF0000"/>
          <w:sz w:val="24"/>
          <w:szCs w:val="24"/>
        </w:rPr>
      </w:pPr>
    </w:p>
    <w:p w:rsidR="00267A3E" w:rsidRDefault="00267A3E" w:rsidP="00266C8C">
      <w:pPr>
        <w:tabs>
          <w:tab w:val="left" w:pos="567"/>
        </w:tabs>
        <w:ind w:left="567"/>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266C8C"/>
    <w:rsid w:val="00267A3E"/>
    <w:rsid w:val="00891232"/>
    <w:rsid w:val="00AD59C3"/>
    <w:rsid w:val="00CF544E"/>
    <w:rsid w:val="00D701DE"/>
    <w:rsid w:val="00D87C3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9C3"/>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AD59C3"/>
    <w:rPr>
      <w:rFonts w:ascii="Arial" w:hAnsi="Arial" w:cs="Arial"/>
      <w:b/>
      <w:sz w:val="24"/>
    </w:rPr>
  </w:style>
  <w:style w:type="paragraph" w:styleId="GvdeMetniGirintisi">
    <w:name w:val="Body Text Indent"/>
    <w:basedOn w:val="Normal"/>
    <w:link w:val="GvdeMetniGirintisiChar"/>
    <w:semiHidden/>
    <w:unhideWhenUsed/>
    <w:rsid w:val="00AD59C3"/>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AD59C3"/>
    <w:rPr>
      <w:rFonts w:ascii="Arial" w:hAnsi="Arial"/>
      <w:sz w:val="24"/>
    </w:rPr>
  </w:style>
  <w:style w:type="paragraph" w:styleId="KonuBal">
    <w:name w:val="Title"/>
    <w:basedOn w:val="Normal"/>
    <w:link w:val="KonuBalChar"/>
    <w:qFormat/>
    <w:rsid w:val="00AD59C3"/>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AD59C3"/>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322897087">
      <w:bodyDiv w:val="1"/>
      <w:marLeft w:val="0"/>
      <w:marRight w:val="0"/>
      <w:marTop w:val="0"/>
      <w:marBottom w:val="0"/>
      <w:divBdr>
        <w:top w:val="none" w:sz="0" w:space="0" w:color="auto"/>
        <w:left w:val="none" w:sz="0" w:space="0" w:color="auto"/>
        <w:bottom w:val="none" w:sz="0" w:space="0" w:color="auto"/>
        <w:right w:val="none" w:sz="0" w:space="0" w:color="auto"/>
      </w:divBdr>
    </w:div>
    <w:div w:id="391319951">
      <w:bodyDiv w:val="1"/>
      <w:marLeft w:val="0"/>
      <w:marRight w:val="0"/>
      <w:marTop w:val="0"/>
      <w:marBottom w:val="0"/>
      <w:divBdr>
        <w:top w:val="none" w:sz="0" w:space="0" w:color="auto"/>
        <w:left w:val="none" w:sz="0" w:space="0" w:color="auto"/>
        <w:bottom w:val="none" w:sz="0" w:space="0" w:color="auto"/>
        <w:right w:val="none" w:sz="0" w:space="0" w:color="auto"/>
      </w:divBdr>
    </w:div>
    <w:div w:id="14159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yazi_bos_2023-04-06_13-50__404846</Template>
  <TotalTime>1</TotalTime>
  <Pages>1</Pages>
  <Words>180</Words>
  <Characters>1344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2023-04-06T11:24:00Z</dcterms:created>
  <dcterms:modified xsi:type="dcterms:W3CDTF">2023-04-06T11:24:00Z</dcterms:modified>
</cp:coreProperties>
</file>