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1B" w:rsidRDefault="00B64139" w:rsidP="00B64139">
      <w:pPr>
        <w:pStyle w:val="GvdeMetniGirintisi"/>
        <w:tabs>
          <w:tab w:val="right" w:pos="9638"/>
        </w:tabs>
        <w:rPr>
          <w:rFonts w:cs="Arial"/>
          <w:sz w:val="22"/>
          <w:szCs w:val="22"/>
          <w:u w:val="single"/>
        </w:rPr>
      </w:pPr>
      <w:r>
        <w:rPr>
          <w:sz w:val="22"/>
          <w:szCs w:val="22"/>
        </w:rPr>
        <w:t xml:space="preserve">Belediye Meclisimiz ekli gündemi görüşmek üzere 5393 Sayılı Belediye Kanununun 20. maddesine göre </w:t>
      </w:r>
      <w:r w:rsidR="0030282F">
        <w:rPr>
          <w:sz w:val="22"/>
          <w:szCs w:val="22"/>
        </w:rPr>
        <w:t>03</w:t>
      </w:r>
      <w:r>
        <w:rPr>
          <w:sz w:val="22"/>
          <w:szCs w:val="22"/>
        </w:rPr>
        <w:t>.</w:t>
      </w:r>
      <w:r w:rsidR="0030282F">
        <w:rPr>
          <w:sz w:val="22"/>
          <w:szCs w:val="22"/>
        </w:rPr>
        <w:t>07.</w:t>
      </w:r>
      <w:r>
        <w:rPr>
          <w:sz w:val="22"/>
          <w:szCs w:val="22"/>
        </w:rPr>
        <w:t>2023 Pazartesi günü saat 14.00’te</w:t>
      </w:r>
      <w:r>
        <w:rPr>
          <w:b/>
          <w:sz w:val="22"/>
          <w:szCs w:val="22"/>
        </w:rPr>
        <w:t xml:space="preserve"> </w:t>
      </w:r>
      <w:r>
        <w:rPr>
          <w:rFonts w:cs="Arial"/>
          <w:sz w:val="22"/>
          <w:szCs w:val="22"/>
        </w:rPr>
        <w:t xml:space="preserve">Atatürk Kültür Merkezi Özgürlük </w:t>
      </w:r>
      <w:r>
        <w:rPr>
          <w:rFonts w:cs="Arial"/>
          <w:sz w:val="22"/>
          <w:szCs w:val="22"/>
          <w:u w:val="single"/>
        </w:rPr>
        <w:t xml:space="preserve">Salonunda toplanacaktır. Duyurulur   </w:t>
      </w:r>
    </w:p>
    <w:p w:rsidR="00B64139" w:rsidRDefault="00B64139" w:rsidP="00B64139">
      <w:pPr>
        <w:pStyle w:val="GvdeMetniGirintisi"/>
        <w:tabs>
          <w:tab w:val="right" w:pos="9638"/>
        </w:tabs>
        <w:rPr>
          <w:rFonts w:cs="Arial"/>
          <w:sz w:val="22"/>
          <w:szCs w:val="22"/>
        </w:rPr>
      </w:pPr>
      <w:r>
        <w:rPr>
          <w:rFonts w:cs="Arial"/>
          <w:sz w:val="22"/>
          <w:szCs w:val="22"/>
          <w:u w:val="single"/>
        </w:rPr>
        <w:t xml:space="preserve">                                                                                                                   </w:t>
      </w:r>
    </w:p>
    <w:p w:rsidR="0030282F" w:rsidRDefault="0030282F" w:rsidP="0030282F">
      <w:pPr>
        <w:tabs>
          <w:tab w:val="left" w:pos="709"/>
          <w:tab w:val="left" w:pos="9498"/>
        </w:tabs>
        <w:ind w:left="709" w:hanging="567"/>
        <w:jc w:val="both"/>
        <w:rPr>
          <w:rFonts w:ascii="Arial" w:hAnsi="Arial" w:cs="Arial"/>
          <w:sz w:val="12"/>
          <w:szCs w:val="12"/>
        </w:rPr>
      </w:pPr>
    </w:p>
    <w:p w:rsidR="00FB051B" w:rsidRPr="00FB051B" w:rsidRDefault="00FB051B" w:rsidP="00FB051B">
      <w:pPr>
        <w:tabs>
          <w:tab w:val="left" w:pos="709"/>
          <w:tab w:val="left" w:pos="9498"/>
        </w:tabs>
        <w:ind w:left="709" w:hanging="567"/>
        <w:jc w:val="both"/>
        <w:rPr>
          <w:rFonts w:ascii="Arial" w:hAnsi="Arial" w:cs="Arial"/>
          <w:sz w:val="22"/>
          <w:szCs w:val="22"/>
        </w:rPr>
      </w:pPr>
      <w:r w:rsidRPr="00FB051B">
        <w:rPr>
          <w:rFonts w:ascii="Arial" w:hAnsi="Arial" w:cs="Arial"/>
          <w:sz w:val="22"/>
          <w:szCs w:val="22"/>
        </w:rPr>
        <w:t>1.</w:t>
      </w:r>
      <w:r w:rsidRPr="00FB051B">
        <w:rPr>
          <w:rFonts w:ascii="Arial" w:hAnsi="Arial" w:cs="Arial"/>
          <w:sz w:val="22"/>
          <w:szCs w:val="22"/>
        </w:rPr>
        <w:tab/>
        <w:t>Yoklama ve açılış.</w:t>
      </w:r>
    </w:p>
    <w:p w:rsidR="00FB051B" w:rsidRPr="00FB051B" w:rsidRDefault="00FB051B" w:rsidP="00FB051B">
      <w:pPr>
        <w:tabs>
          <w:tab w:val="left" w:pos="709"/>
          <w:tab w:val="left" w:pos="9498"/>
        </w:tabs>
        <w:ind w:left="709" w:hanging="567"/>
        <w:jc w:val="both"/>
        <w:rPr>
          <w:rFonts w:ascii="Arial" w:hAnsi="Arial" w:cs="Arial"/>
          <w:sz w:val="22"/>
          <w:szCs w:val="22"/>
        </w:rPr>
      </w:pPr>
      <w:r w:rsidRPr="00FB051B">
        <w:rPr>
          <w:rFonts w:ascii="Arial" w:hAnsi="Arial" w:cs="Arial"/>
          <w:sz w:val="22"/>
          <w:szCs w:val="22"/>
        </w:rPr>
        <w:t xml:space="preserve">  </w:t>
      </w:r>
    </w:p>
    <w:p w:rsidR="00FB051B" w:rsidRPr="00FB051B" w:rsidRDefault="00FB051B" w:rsidP="00FB051B">
      <w:pPr>
        <w:tabs>
          <w:tab w:val="left" w:pos="709"/>
          <w:tab w:val="left" w:pos="9498"/>
        </w:tabs>
        <w:ind w:left="709" w:hanging="567"/>
        <w:jc w:val="both"/>
        <w:rPr>
          <w:rFonts w:ascii="Arial" w:hAnsi="Arial" w:cs="Arial"/>
          <w:sz w:val="22"/>
          <w:szCs w:val="22"/>
        </w:rPr>
      </w:pPr>
      <w:r w:rsidRPr="00FB051B">
        <w:rPr>
          <w:rFonts w:ascii="Arial" w:hAnsi="Arial" w:cs="Arial"/>
          <w:sz w:val="22"/>
          <w:szCs w:val="22"/>
        </w:rPr>
        <w:t>2.</w:t>
      </w:r>
      <w:r w:rsidRPr="00FB051B">
        <w:rPr>
          <w:rFonts w:ascii="Arial" w:hAnsi="Arial" w:cs="Arial"/>
          <w:sz w:val="22"/>
          <w:szCs w:val="22"/>
        </w:rPr>
        <w:tab/>
        <w:t xml:space="preserve">Bir önceki birleşim tutanak özetinin okunması. </w:t>
      </w:r>
    </w:p>
    <w:p w:rsidR="00FB051B" w:rsidRPr="00FB051B" w:rsidRDefault="00FB051B" w:rsidP="00FB051B">
      <w:pPr>
        <w:tabs>
          <w:tab w:val="left" w:pos="709"/>
          <w:tab w:val="left" w:pos="9498"/>
        </w:tabs>
        <w:ind w:left="709" w:hanging="567"/>
        <w:jc w:val="both"/>
        <w:rPr>
          <w:rFonts w:ascii="Arial" w:hAnsi="Arial" w:cs="Arial"/>
          <w:sz w:val="22"/>
          <w:szCs w:val="22"/>
        </w:rPr>
      </w:pPr>
    </w:p>
    <w:p w:rsidR="00FB051B" w:rsidRPr="00FB051B" w:rsidRDefault="00FB051B" w:rsidP="00FB051B">
      <w:pPr>
        <w:tabs>
          <w:tab w:val="left" w:pos="709"/>
          <w:tab w:val="left" w:pos="9498"/>
        </w:tabs>
        <w:ind w:left="709" w:hanging="567"/>
        <w:jc w:val="both"/>
        <w:rPr>
          <w:rFonts w:ascii="Arial" w:hAnsi="Arial" w:cs="Arial"/>
          <w:sz w:val="22"/>
          <w:szCs w:val="22"/>
        </w:rPr>
      </w:pPr>
      <w:r w:rsidRPr="00FB051B">
        <w:rPr>
          <w:rFonts w:ascii="Arial" w:hAnsi="Arial" w:cs="Arial"/>
          <w:sz w:val="22"/>
          <w:szCs w:val="22"/>
        </w:rPr>
        <w:t>3.</w:t>
      </w:r>
      <w:r w:rsidRPr="00FB051B">
        <w:rPr>
          <w:rFonts w:ascii="Arial" w:hAnsi="Arial" w:cs="Arial"/>
          <w:sz w:val="22"/>
          <w:szCs w:val="22"/>
        </w:rPr>
        <w:tab/>
        <w:t>Belediyemiz 657 sayılı yasaya tabii memur statüsünde çalışanlar için hazırlanan boş kadro değişikliği cetveli (II Sayılı Cetvel) ile ilgili teklifin görüşülmesi.</w:t>
      </w:r>
    </w:p>
    <w:p w:rsidR="00FB051B" w:rsidRPr="00FB051B" w:rsidRDefault="00FB051B" w:rsidP="00FB051B">
      <w:pPr>
        <w:tabs>
          <w:tab w:val="left" w:pos="709"/>
          <w:tab w:val="left" w:pos="9498"/>
        </w:tabs>
        <w:ind w:left="709" w:hanging="567"/>
        <w:jc w:val="both"/>
        <w:rPr>
          <w:rFonts w:ascii="Arial" w:hAnsi="Arial" w:cs="Arial"/>
          <w:sz w:val="22"/>
          <w:szCs w:val="22"/>
        </w:rPr>
      </w:pPr>
    </w:p>
    <w:p w:rsidR="00FB051B" w:rsidRPr="00FB051B" w:rsidRDefault="00FB051B" w:rsidP="00FB051B">
      <w:pPr>
        <w:tabs>
          <w:tab w:val="left" w:pos="709"/>
          <w:tab w:val="left" w:pos="9498"/>
        </w:tabs>
        <w:ind w:left="709" w:hanging="567"/>
        <w:jc w:val="both"/>
        <w:rPr>
          <w:rFonts w:ascii="Arial" w:hAnsi="Arial" w:cs="Arial"/>
          <w:sz w:val="22"/>
          <w:szCs w:val="22"/>
        </w:rPr>
      </w:pPr>
      <w:r w:rsidRPr="00FB051B">
        <w:rPr>
          <w:rFonts w:ascii="Arial" w:hAnsi="Arial" w:cs="Arial"/>
          <w:sz w:val="22"/>
          <w:szCs w:val="22"/>
        </w:rPr>
        <w:t>4.</w:t>
      </w:r>
      <w:r w:rsidRPr="00FB051B">
        <w:rPr>
          <w:rFonts w:ascii="Arial" w:hAnsi="Arial" w:cs="Arial"/>
          <w:sz w:val="22"/>
          <w:szCs w:val="22"/>
        </w:rPr>
        <w:tab/>
        <w:t xml:space="preserve">Belediyemiz 657 sayılı yasaya tabii memur statüsünde çalışanlar için hazırlanan boş kadro değişikliği cetveli (II Sayılı Cetvel) ile ilgili teklifin görüşülmesi. </w:t>
      </w:r>
    </w:p>
    <w:p w:rsidR="00FB051B" w:rsidRPr="00FB051B" w:rsidRDefault="00FB051B" w:rsidP="00FB051B">
      <w:pPr>
        <w:tabs>
          <w:tab w:val="left" w:pos="709"/>
          <w:tab w:val="left" w:pos="9498"/>
        </w:tabs>
        <w:ind w:left="709" w:hanging="567"/>
        <w:jc w:val="both"/>
        <w:rPr>
          <w:rFonts w:ascii="Arial" w:hAnsi="Arial" w:cs="Arial"/>
          <w:sz w:val="22"/>
          <w:szCs w:val="22"/>
        </w:rPr>
      </w:pPr>
    </w:p>
    <w:p w:rsidR="00FB051B" w:rsidRPr="00FB051B" w:rsidRDefault="00FB051B" w:rsidP="00FB051B">
      <w:pPr>
        <w:tabs>
          <w:tab w:val="left" w:pos="709"/>
          <w:tab w:val="left" w:pos="9498"/>
        </w:tabs>
        <w:ind w:left="709" w:hanging="567"/>
        <w:jc w:val="both"/>
        <w:rPr>
          <w:rFonts w:ascii="Arial" w:hAnsi="Arial" w:cs="Arial"/>
          <w:sz w:val="22"/>
          <w:szCs w:val="22"/>
        </w:rPr>
      </w:pPr>
      <w:r w:rsidRPr="00FB051B">
        <w:rPr>
          <w:rFonts w:ascii="Arial" w:hAnsi="Arial" w:cs="Arial"/>
          <w:sz w:val="22"/>
          <w:szCs w:val="22"/>
        </w:rPr>
        <w:t>5.</w:t>
      </w:r>
      <w:r w:rsidRPr="00FB051B">
        <w:rPr>
          <w:rFonts w:ascii="Arial" w:hAnsi="Arial" w:cs="Arial"/>
          <w:sz w:val="22"/>
          <w:szCs w:val="22"/>
        </w:rPr>
        <w:tab/>
        <w:t>Belediyemiz 657 sayılı yasaya tabii memur statüsünde çalışanlar için hazırlanan Kadro İhdas Cetveli (1 Sayılı Kadro İhdas Cetveli) ile ilgili teklifin görüşülmesi.</w:t>
      </w:r>
    </w:p>
    <w:p w:rsidR="00FB051B" w:rsidRPr="00FB051B" w:rsidRDefault="00FB051B" w:rsidP="00FB051B">
      <w:pPr>
        <w:tabs>
          <w:tab w:val="left" w:pos="709"/>
          <w:tab w:val="left" w:pos="9498"/>
        </w:tabs>
        <w:ind w:left="709" w:hanging="567"/>
        <w:jc w:val="both"/>
        <w:rPr>
          <w:rFonts w:ascii="Arial" w:hAnsi="Arial" w:cs="Arial"/>
          <w:sz w:val="22"/>
          <w:szCs w:val="22"/>
        </w:rPr>
      </w:pPr>
    </w:p>
    <w:p w:rsidR="00FB051B" w:rsidRPr="00FB051B" w:rsidRDefault="00FB051B" w:rsidP="00FB051B">
      <w:pPr>
        <w:tabs>
          <w:tab w:val="left" w:pos="709"/>
          <w:tab w:val="left" w:pos="9498"/>
        </w:tabs>
        <w:ind w:left="709" w:hanging="567"/>
        <w:jc w:val="both"/>
        <w:rPr>
          <w:rFonts w:ascii="Arial" w:hAnsi="Arial" w:cs="Arial"/>
          <w:sz w:val="22"/>
          <w:szCs w:val="22"/>
        </w:rPr>
      </w:pPr>
      <w:r w:rsidRPr="00FB051B">
        <w:rPr>
          <w:rFonts w:ascii="Arial" w:hAnsi="Arial" w:cs="Arial"/>
          <w:sz w:val="22"/>
          <w:szCs w:val="22"/>
        </w:rPr>
        <w:t>6.</w:t>
      </w:r>
      <w:r w:rsidRPr="00FB051B">
        <w:rPr>
          <w:rFonts w:ascii="Arial" w:hAnsi="Arial" w:cs="Arial"/>
          <w:sz w:val="22"/>
          <w:szCs w:val="22"/>
        </w:rPr>
        <w:tab/>
        <w:t xml:space="preserve">Belediyemiz Meclis Üyesi Cevdet </w:t>
      </w:r>
      <w:proofErr w:type="spellStart"/>
      <w:r w:rsidRPr="00FB051B">
        <w:rPr>
          <w:rFonts w:ascii="Arial" w:hAnsi="Arial" w:cs="Arial"/>
          <w:sz w:val="22"/>
          <w:szCs w:val="22"/>
        </w:rPr>
        <w:t>YILMAZ’ın</w:t>
      </w:r>
      <w:proofErr w:type="spellEnd"/>
      <w:r w:rsidRPr="00FB051B">
        <w:rPr>
          <w:rFonts w:ascii="Arial" w:hAnsi="Arial" w:cs="Arial"/>
          <w:sz w:val="22"/>
          <w:szCs w:val="22"/>
        </w:rPr>
        <w:t xml:space="preserve"> Meclis Başkanlık Divanı asil üyeliğinden istifa etmesi ile boşalan Asil Katip Üyeliği için yeniden üye seçimi yapılması ile ilgili teklifin görüşülmesi.</w:t>
      </w:r>
    </w:p>
    <w:p w:rsidR="00FB051B" w:rsidRPr="00FB051B" w:rsidRDefault="00FB051B" w:rsidP="00FB051B">
      <w:pPr>
        <w:tabs>
          <w:tab w:val="left" w:pos="709"/>
          <w:tab w:val="left" w:pos="9498"/>
        </w:tabs>
        <w:ind w:left="709" w:hanging="567"/>
        <w:jc w:val="both"/>
        <w:rPr>
          <w:rFonts w:ascii="Arial" w:hAnsi="Arial" w:cs="Arial"/>
          <w:sz w:val="22"/>
          <w:szCs w:val="22"/>
        </w:rPr>
      </w:pPr>
    </w:p>
    <w:p w:rsidR="00FB051B" w:rsidRPr="00FB051B" w:rsidRDefault="00FB051B" w:rsidP="00FB051B">
      <w:pPr>
        <w:tabs>
          <w:tab w:val="left" w:pos="709"/>
          <w:tab w:val="left" w:pos="9498"/>
        </w:tabs>
        <w:ind w:left="709" w:hanging="567"/>
        <w:jc w:val="both"/>
        <w:rPr>
          <w:rFonts w:ascii="Arial" w:hAnsi="Arial" w:cs="Arial"/>
          <w:sz w:val="22"/>
          <w:szCs w:val="22"/>
        </w:rPr>
      </w:pPr>
      <w:r w:rsidRPr="00FB051B">
        <w:rPr>
          <w:rFonts w:ascii="Arial" w:hAnsi="Arial" w:cs="Arial"/>
          <w:sz w:val="22"/>
          <w:szCs w:val="22"/>
        </w:rPr>
        <w:t>7.</w:t>
      </w:r>
      <w:r w:rsidRPr="00FB051B">
        <w:rPr>
          <w:rFonts w:ascii="Arial" w:hAnsi="Arial" w:cs="Arial"/>
          <w:sz w:val="22"/>
          <w:szCs w:val="22"/>
        </w:rPr>
        <w:tab/>
        <w:t xml:space="preserve">Belediyemiz İmar ve Şehircilik Müdürlüğünün 03.5.9.90-Diğer Hizmet Alımları Kaleminde yeterli ödenek bulunmağından Sağlık İşleri Müdürlüğü tarafından kullanılmayacağı anlaşılan 03.2.6.02-Tıbbi Malzeme ve İlaç Alımları ile 03.5.9.90- Diğer Hizmet Alımları Kaleminden ödenek aktarması yapılması ile ilgili teklifin görüşülmesi.  </w:t>
      </w:r>
    </w:p>
    <w:p w:rsidR="00FB051B" w:rsidRPr="00FB051B" w:rsidRDefault="00FB051B" w:rsidP="00FB051B">
      <w:pPr>
        <w:tabs>
          <w:tab w:val="left" w:pos="709"/>
          <w:tab w:val="left" w:pos="9498"/>
        </w:tabs>
        <w:ind w:left="709" w:hanging="567"/>
        <w:jc w:val="both"/>
        <w:rPr>
          <w:rFonts w:ascii="Arial" w:hAnsi="Arial" w:cs="Arial"/>
          <w:sz w:val="22"/>
          <w:szCs w:val="22"/>
        </w:rPr>
      </w:pPr>
    </w:p>
    <w:p w:rsidR="00FB051B" w:rsidRPr="00FB051B" w:rsidRDefault="00FB051B" w:rsidP="00FB051B">
      <w:pPr>
        <w:tabs>
          <w:tab w:val="left" w:pos="709"/>
          <w:tab w:val="left" w:pos="9498"/>
        </w:tabs>
        <w:ind w:left="709" w:hanging="567"/>
        <w:jc w:val="both"/>
        <w:rPr>
          <w:rFonts w:ascii="Arial" w:hAnsi="Arial" w:cs="Arial"/>
          <w:sz w:val="22"/>
          <w:szCs w:val="22"/>
        </w:rPr>
      </w:pPr>
      <w:r w:rsidRPr="00FB051B">
        <w:rPr>
          <w:rFonts w:ascii="Arial" w:hAnsi="Arial" w:cs="Arial"/>
          <w:sz w:val="22"/>
          <w:szCs w:val="22"/>
        </w:rPr>
        <w:t>8.</w:t>
      </w:r>
      <w:r w:rsidRPr="00FB051B">
        <w:rPr>
          <w:rFonts w:ascii="Arial" w:hAnsi="Arial" w:cs="Arial"/>
          <w:sz w:val="22"/>
          <w:szCs w:val="22"/>
        </w:rPr>
        <w:tab/>
        <w:t xml:space="preserve">Belediyemiz bünyesinde bulunan Yenişehir Belediyesi Misafirhanesinin 2023-2024 yılı ücretlerinin belirlenmesi ile ilgili teklifin görüşülmesi.  </w:t>
      </w:r>
    </w:p>
    <w:p w:rsidR="00FB051B" w:rsidRPr="00FB051B" w:rsidRDefault="00FB051B" w:rsidP="00FB051B">
      <w:pPr>
        <w:tabs>
          <w:tab w:val="left" w:pos="709"/>
          <w:tab w:val="left" w:pos="9498"/>
        </w:tabs>
        <w:ind w:left="709" w:hanging="567"/>
        <w:jc w:val="both"/>
        <w:rPr>
          <w:rFonts w:ascii="Arial" w:hAnsi="Arial" w:cs="Arial"/>
          <w:sz w:val="22"/>
          <w:szCs w:val="22"/>
        </w:rPr>
      </w:pPr>
    </w:p>
    <w:p w:rsidR="00FB051B" w:rsidRPr="00FB051B" w:rsidRDefault="00FB051B" w:rsidP="00FB051B">
      <w:pPr>
        <w:tabs>
          <w:tab w:val="left" w:pos="709"/>
          <w:tab w:val="left" w:pos="9498"/>
        </w:tabs>
        <w:ind w:left="709" w:hanging="567"/>
        <w:jc w:val="both"/>
        <w:rPr>
          <w:rFonts w:ascii="Arial" w:hAnsi="Arial" w:cs="Arial"/>
          <w:sz w:val="22"/>
          <w:szCs w:val="22"/>
        </w:rPr>
      </w:pPr>
      <w:r w:rsidRPr="00FB051B">
        <w:rPr>
          <w:rFonts w:ascii="Arial" w:hAnsi="Arial" w:cs="Arial"/>
          <w:sz w:val="22"/>
          <w:szCs w:val="22"/>
        </w:rPr>
        <w:t>9.</w:t>
      </w:r>
      <w:r w:rsidRPr="00FB051B">
        <w:rPr>
          <w:rFonts w:ascii="Arial" w:hAnsi="Arial" w:cs="Arial"/>
          <w:sz w:val="22"/>
          <w:szCs w:val="22"/>
        </w:rPr>
        <w:tab/>
        <w:t>Belediyemiz bünyesinde bulunan Yenişehir Belediyesi Mustafa Baysan Yüksek Öğretim Öğrenci Yurdunun  2023-2024 yılı ücretlerinin belirlenmesi ile ilgili teklifin görüşülmesi.</w:t>
      </w:r>
    </w:p>
    <w:p w:rsidR="00FB051B" w:rsidRPr="00FB051B" w:rsidRDefault="00FB051B" w:rsidP="00FB051B">
      <w:pPr>
        <w:tabs>
          <w:tab w:val="left" w:pos="709"/>
          <w:tab w:val="left" w:pos="9498"/>
        </w:tabs>
        <w:ind w:left="709" w:hanging="567"/>
        <w:jc w:val="both"/>
        <w:rPr>
          <w:rFonts w:ascii="Arial" w:hAnsi="Arial" w:cs="Arial"/>
          <w:sz w:val="22"/>
          <w:szCs w:val="22"/>
        </w:rPr>
      </w:pPr>
    </w:p>
    <w:p w:rsidR="00FB051B" w:rsidRPr="00FB051B" w:rsidRDefault="00FB051B" w:rsidP="00FB051B">
      <w:pPr>
        <w:tabs>
          <w:tab w:val="left" w:pos="709"/>
          <w:tab w:val="left" w:pos="9498"/>
        </w:tabs>
        <w:ind w:left="709" w:hanging="709"/>
        <w:jc w:val="both"/>
        <w:rPr>
          <w:rFonts w:ascii="Arial" w:hAnsi="Arial" w:cs="Arial"/>
          <w:sz w:val="22"/>
          <w:szCs w:val="22"/>
        </w:rPr>
      </w:pPr>
      <w:r w:rsidRPr="00FB051B">
        <w:rPr>
          <w:rFonts w:ascii="Arial" w:hAnsi="Arial" w:cs="Arial"/>
          <w:sz w:val="22"/>
          <w:szCs w:val="22"/>
        </w:rPr>
        <w:t>10.</w:t>
      </w:r>
      <w:r w:rsidRPr="00FB051B">
        <w:rPr>
          <w:rFonts w:ascii="Arial" w:hAnsi="Arial" w:cs="Arial"/>
          <w:sz w:val="22"/>
          <w:szCs w:val="22"/>
        </w:rPr>
        <w:tab/>
        <w:t xml:space="preserve">Belediyemiz İmar ve Şehircilik Müdürlüğü’ne ait Görev, Yetki, Sorumluluk ve Çalışma Esasları Yönetmeliğinin yeniden revize edilmesi ile ilgili teklifin görüşülmesi.  </w:t>
      </w:r>
    </w:p>
    <w:p w:rsidR="00FB051B" w:rsidRPr="00FB051B" w:rsidRDefault="00FB051B" w:rsidP="00FB051B">
      <w:pPr>
        <w:tabs>
          <w:tab w:val="left" w:pos="709"/>
          <w:tab w:val="left" w:pos="9498"/>
        </w:tabs>
        <w:ind w:left="709" w:hanging="567"/>
        <w:jc w:val="both"/>
        <w:rPr>
          <w:rFonts w:ascii="Arial" w:hAnsi="Arial" w:cs="Arial"/>
          <w:sz w:val="22"/>
          <w:szCs w:val="22"/>
        </w:rPr>
      </w:pPr>
    </w:p>
    <w:p w:rsidR="00FB051B" w:rsidRPr="00FB051B" w:rsidRDefault="00FB051B" w:rsidP="00FB051B">
      <w:pPr>
        <w:tabs>
          <w:tab w:val="left" w:pos="709"/>
          <w:tab w:val="left" w:pos="9498"/>
        </w:tabs>
        <w:ind w:left="709" w:hanging="709"/>
        <w:jc w:val="both"/>
        <w:rPr>
          <w:rFonts w:ascii="Arial" w:hAnsi="Arial" w:cs="Arial"/>
          <w:sz w:val="22"/>
          <w:szCs w:val="22"/>
        </w:rPr>
      </w:pPr>
      <w:r w:rsidRPr="00FB051B">
        <w:rPr>
          <w:rFonts w:ascii="Arial" w:hAnsi="Arial" w:cs="Arial"/>
          <w:sz w:val="22"/>
          <w:szCs w:val="22"/>
        </w:rPr>
        <w:t>11.</w:t>
      </w:r>
      <w:r w:rsidRPr="00FB051B">
        <w:rPr>
          <w:rFonts w:ascii="Arial" w:hAnsi="Arial" w:cs="Arial"/>
          <w:sz w:val="22"/>
          <w:szCs w:val="22"/>
        </w:rPr>
        <w:tab/>
        <w:t xml:space="preserve">Belediyemiz sınırları içerisinde bulunan 1/1000 ölçekli imar planında Dini Tesis (İbadet yeri, Cami) alanına isabet eden </w:t>
      </w:r>
      <w:proofErr w:type="spellStart"/>
      <w:r w:rsidRPr="00FB051B">
        <w:rPr>
          <w:rFonts w:ascii="Arial" w:hAnsi="Arial" w:cs="Arial"/>
          <w:sz w:val="22"/>
          <w:szCs w:val="22"/>
        </w:rPr>
        <w:t>Menteş</w:t>
      </w:r>
      <w:proofErr w:type="spellEnd"/>
      <w:r w:rsidRPr="00FB051B">
        <w:rPr>
          <w:rFonts w:ascii="Arial" w:hAnsi="Arial" w:cs="Arial"/>
          <w:sz w:val="22"/>
          <w:szCs w:val="22"/>
        </w:rPr>
        <w:t xml:space="preserve">, 2491 ada, 4 </w:t>
      </w:r>
      <w:proofErr w:type="spellStart"/>
      <w:r w:rsidRPr="00FB051B">
        <w:rPr>
          <w:rFonts w:ascii="Arial" w:hAnsi="Arial" w:cs="Arial"/>
          <w:sz w:val="22"/>
          <w:szCs w:val="22"/>
        </w:rPr>
        <w:t>nolu</w:t>
      </w:r>
      <w:proofErr w:type="spellEnd"/>
      <w:r w:rsidRPr="00FB051B">
        <w:rPr>
          <w:rFonts w:ascii="Arial" w:hAnsi="Arial" w:cs="Arial"/>
          <w:sz w:val="22"/>
          <w:szCs w:val="22"/>
        </w:rPr>
        <w:t xml:space="preserve"> parsel içerisinde mülkiyeti belediyemize ait olan 259/800 (680.70m2) hissenin Türkiye Diyanet Vakfına devrinin yapılması ile ilgili teklife ait İmar Komisyonu, Kültür Sanat ve Turizm Komisyonu ile Proje Geliştirme, Avrupa Birliği ve Dış İlişkiler Komisyonu ortak raporunun görüşülmesi. </w:t>
      </w:r>
    </w:p>
    <w:p w:rsidR="00FB051B" w:rsidRPr="00FB051B" w:rsidRDefault="00FB051B" w:rsidP="00FB051B">
      <w:pPr>
        <w:tabs>
          <w:tab w:val="left" w:pos="709"/>
          <w:tab w:val="left" w:pos="9498"/>
        </w:tabs>
        <w:ind w:left="709" w:hanging="567"/>
        <w:jc w:val="both"/>
        <w:rPr>
          <w:rFonts w:ascii="Arial" w:hAnsi="Arial" w:cs="Arial"/>
          <w:sz w:val="22"/>
          <w:szCs w:val="22"/>
        </w:rPr>
      </w:pPr>
    </w:p>
    <w:p w:rsidR="00FB051B" w:rsidRPr="00FB051B" w:rsidRDefault="00FB051B" w:rsidP="00FB051B">
      <w:pPr>
        <w:tabs>
          <w:tab w:val="left" w:pos="709"/>
          <w:tab w:val="left" w:pos="9498"/>
        </w:tabs>
        <w:ind w:left="709" w:hanging="709"/>
        <w:jc w:val="both"/>
        <w:rPr>
          <w:rFonts w:ascii="Arial" w:hAnsi="Arial" w:cs="Arial"/>
          <w:sz w:val="22"/>
          <w:szCs w:val="22"/>
        </w:rPr>
      </w:pPr>
      <w:r w:rsidRPr="00FB051B">
        <w:rPr>
          <w:rFonts w:ascii="Arial" w:hAnsi="Arial" w:cs="Arial"/>
          <w:sz w:val="22"/>
          <w:szCs w:val="22"/>
        </w:rPr>
        <w:t>12.</w:t>
      </w:r>
      <w:r w:rsidRPr="00FB051B">
        <w:rPr>
          <w:rFonts w:ascii="Arial" w:hAnsi="Arial" w:cs="Arial"/>
          <w:sz w:val="22"/>
          <w:szCs w:val="22"/>
        </w:rPr>
        <w:tab/>
        <w:t xml:space="preserve">Belediyemizin kardeş şehri olan Giresun Eynesil Belediyesi ile karşılıklı bedelsiz tahsis edilen çöp kamyonlarına ait tahsis süresinin uzatılması ile ilgili teklife ait Plan ve Bütçe Komisyonu ile Sosyal Yardım ve Hizmetler Komisyonu ortak raporunun görüşülmesi. </w:t>
      </w:r>
    </w:p>
    <w:p w:rsidR="00FB051B" w:rsidRPr="00FB051B" w:rsidRDefault="00FB051B" w:rsidP="00FB051B">
      <w:pPr>
        <w:tabs>
          <w:tab w:val="left" w:pos="709"/>
          <w:tab w:val="left" w:pos="9498"/>
        </w:tabs>
        <w:ind w:left="709" w:hanging="567"/>
        <w:jc w:val="both"/>
        <w:rPr>
          <w:rFonts w:ascii="Arial" w:hAnsi="Arial" w:cs="Arial"/>
          <w:sz w:val="22"/>
          <w:szCs w:val="22"/>
        </w:rPr>
      </w:pPr>
    </w:p>
    <w:p w:rsidR="00FB051B" w:rsidRPr="00FB051B" w:rsidRDefault="00FB051B" w:rsidP="00FB051B">
      <w:pPr>
        <w:tabs>
          <w:tab w:val="left" w:pos="709"/>
          <w:tab w:val="left" w:pos="9498"/>
        </w:tabs>
        <w:ind w:left="709" w:hanging="567"/>
        <w:jc w:val="both"/>
        <w:rPr>
          <w:rFonts w:ascii="Arial" w:hAnsi="Arial" w:cs="Arial"/>
          <w:sz w:val="22"/>
          <w:szCs w:val="22"/>
        </w:rPr>
      </w:pPr>
    </w:p>
    <w:p w:rsidR="00FB051B" w:rsidRPr="00FB051B" w:rsidRDefault="00FB051B" w:rsidP="00FB051B">
      <w:pPr>
        <w:tabs>
          <w:tab w:val="left" w:pos="709"/>
          <w:tab w:val="left" w:pos="9498"/>
        </w:tabs>
        <w:ind w:left="709" w:hanging="567"/>
        <w:jc w:val="both"/>
        <w:rPr>
          <w:rFonts w:ascii="Arial" w:hAnsi="Arial" w:cs="Arial"/>
          <w:sz w:val="22"/>
          <w:szCs w:val="22"/>
        </w:rPr>
      </w:pPr>
    </w:p>
    <w:p w:rsidR="0030282F" w:rsidRPr="00FB051B" w:rsidRDefault="00FB051B" w:rsidP="00FB051B">
      <w:pPr>
        <w:tabs>
          <w:tab w:val="left" w:pos="709"/>
          <w:tab w:val="left" w:pos="9498"/>
        </w:tabs>
        <w:ind w:left="709" w:hanging="709"/>
        <w:jc w:val="both"/>
        <w:rPr>
          <w:rFonts w:ascii="Arial" w:hAnsi="Arial" w:cs="Arial"/>
          <w:sz w:val="22"/>
          <w:szCs w:val="22"/>
        </w:rPr>
      </w:pPr>
      <w:r w:rsidRPr="00FB051B">
        <w:rPr>
          <w:rFonts w:ascii="Arial" w:hAnsi="Arial" w:cs="Arial"/>
          <w:sz w:val="22"/>
          <w:szCs w:val="22"/>
        </w:rPr>
        <w:t>13.</w:t>
      </w:r>
      <w:r w:rsidRPr="00FB051B">
        <w:rPr>
          <w:rFonts w:ascii="Arial" w:hAnsi="Arial" w:cs="Arial"/>
          <w:sz w:val="22"/>
          <w:szCs w:val="22"/>
        </w:rPr>
        <w:tab/>
        <w:t xml:space="preserve">Öneriler ve Temenniler.     </w:t>
      </w:r>
    </w:p>
    <w:sectPr w:rsidR="0030282F" w:rsidRPr="00FB051B">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A1473F"/>
    <w:rsid w:val="00267A3E"/>
    <w:rsid w:val="0030282F"/>
    <w:rsid w:val="00891232"/>
    <w:rsid w:val="008F35D7"/>
    <w:rsid w:val="00A1473F"/>
    <w:rsid w:val="00B64139"/>
    <w:rsid w:val="00CF544E"/>
    <w:rsid w:val="00D701DE"/>
    <w:rsid w:val="00FB05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B64139"/>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B64139"/>
    <w:rPr>
      <w:rFonts w:ascii="Arial" w:hAnsi="Arial"/>
      <w:sz w:val="24"/>
    </w:rPr>
  </w:style>
  <w:style w:type="paragraph" w:styleId="ListeParagraf">
    <w:name w:val="List Paragraph"/>
    <w:basedOn w:val="Normal"/>
    <w:uiPriority w:val="34"/>
    <w:qFormat/>
    <w:rsid w:val="0030282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38181655">
      <w:bodyDiv w:val="1"/>
      <w:marLeft w:val="0"/>
      <w:marRight w:val="0"/>
      <w:marTop w:val="0"/>
      <w:marBottom w:val="0"/>
      <w:divBdr>
        <w:top w:val="none" w:sz="0" w:space="0" w:color="auto"/>
        <w:left w:val="none" w:sz="0" w:space="0" w:color="auto"/>
        <w:bottom w:val="none" w:sz="0" w:space="0" w:color="auto"/>
        <w:right w:val="none" w:sz="0" w:space="0" w:color="auto"/>
      </w:divBdr>
    </w:div>
    <w:div w:id="190305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03%20TEMMUZ%202023%20MECL&#304;S%20G&#220;NDEM&#304;.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03 TEMMUZ 2023 MECLİS GÜNDEMİ.dot</Template>
  <TotalTime>1</TotalTime>
  <Pages>1</Pages>
  <Words>399</Words>
  <Characters>2276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ERtUğRuL BaLıKçI</dc:creator>
  <cp:lastModifiedBy>MUhAmmEt ERtUğRuL BaLıKçI</cp:lastModifiedBy>
  <cp:revision>1</cp:revision>
  <dcterms:created xsi:type="dcterms:W3CDTF">2023-06-23T13:41:00Z</dcterms:created>
  <dcterms:modified xsi:type="dcterms:W3CDTF">2023-06-23T13:42:00Z</dcterms:modified>
</cp:coreProperties>
</file>