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582142" w:rsidRDefault="008254E6">
            <w:pPr>
              <w:rPr>
                <w:sz w:val="10"/>
                <w:szCs w:val="10"/>
              </w:rPr>
            </w:pPr>
          </w:p>
        </w:tc>
      </w:tr>
      <w:tr w:rsidR="008254E6">
        <w:tblPrEx>
          <w:tblCellMar>
            <w:top w:w="0" w:type="dxa"/>
            <w:bottom w:w="0" w:type="dxa"/>
          </w:tblCellMar>
        </w:tblPrEx>
        <w:tc>
          <w:tcPr>
            <w:tcW w:w="10206" w:type="dxa"/>
            <w:tcBorders>
              <w:top w:val="nil"/>
              <w:left w:val="nil"/>
              <w:bottom w:val="nil"/>
              <w:right w:val="nil"/>
            </w:tcBorders>
          </w:tcPr>
          <w:p w:rsidR="008254E6" w:rsidRDefault="00D16EFD" w:rsidP="007E53F3">
            <w:pPr>
              <w:ind w:firstLine="885"/>
              <w:jc w:val="both"/>
              <w:rPr>
                <w:rFonts w:ascii="Arial" w:hAnsi="Arial" w:cs="Arial"/>
                <w:sz w:val="24"/>
              </w:rPr>
            </w:pPr>
            <w:r>
              <w:rPr>
                <w:rFonts w:ascii="Arial" w:hAnsi="Arial" w:cs="Arial"/>
                <w:sz w:val="24"/>
              </w:rPr>
              <w:t>Belediye Meclisinin 02.10.2023 tarih ve 154 sayılı ara kararı ile İmar Komisyonu ile Ekoloji Komisyonuna ortak havale edilen Mersin İli, Yenişehir İlçesi, Yenişehir I. Etap 1/1000 Ölçekli Revizyon Uygulama İmar Planı İtiraz Değerlendirmesi ile ilgili  31.10.2023 tarihli   ortak komisyon raporu okunarak görüşmeye geçildi.</w:t>
            </w:r>
          </w:p>
          <w:p w:rsidR="00582142" w:rsidRPr="007E53F3" w:rsidRDefault="00582142" w:rsidP="007E53F3">
            <w:pPr>
              <w:ind w:firstLine="885"/>
              <w:jc w:val="both"/>
              <w:rPr>
                <w:rFonts w:ascii="Arial" w:hAnsi="Arial" w:cs="Arial"/>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82142" w:rsidRDefault="00582142">
            <w:pPr>
              <w:jc w:val="center"/>
              <w:rPr>
                <w:b/>
                <w:sz w:val="24"/>
                <w:u w:val="single"/>
              </w:rPr>
            </w:pPr>
          </w:p>
          <w:p w:rsidR="00BE69D5" w:rsidRDefault="00BE69D5" w:rsidP="007E53F3">
            <w:pPr>
              <w:tabs>
                <w:tab w:val="center" w:pos="2268"/>
                <w:tab w:val="center" w:pos="7513"/>
              </w:tabs>
              <w:spacing w:line="240" w:lineRule="exact"/>
              <w:jc w:val="both"/>
              <w:rPr>
                <w:b/>
                <w:sz w:val="24"/>
                <w:u w:val="single"/>
              </w:rPr>
            </w:pPr>
          </w:p>
          <w:p w:rsidR="00BE69D5" w:rsidRDefault="007E53F3" w:rsidP="00BE69D5">
            <w:pPr>
              <w:tabs>
                <w:tab w:val="center" w:pos="2268"/>
                <w:tab w:val="center" w:pos="7513"/>
              </w:tabs>
              <w:spacing w:line="240" w:lineRule="exact"/>
              <w:ind w:firstLine="885"/>
              <w:jc w:val="both"/>
              <w:rPr>
                <w:rFonts w:ascii="Arial" w:hAnsi="Arial" w:cs="Arial"/>
                <w:sz w:val="24"/>
                <w:szCs w:val="24"/>
              </w:rPr>
            </w:pPr>
            <w:r w:rsidRPr="007E53F3">
              <w:rPr>
                <w:rFonts w:ascii="Arial" w:hAnsi="Arial" w:cs="Arial"/>
                <w:sz w:val="24"/>
                <w:szCs w:val="24"/>
              </w:rPr>
              <w:t>İdaremiz tarafından Mersin İli, Yenişehir İlçesi, Yenişehir I. Etap 1/1000 Ölçekli Revizyon Uygulama İmar Planı, Yenişehir Belediye Meclisinin 01.11.2021 tarih ve 188 (UİP-33230543) sayılı meclis kararı; Mersin Büyükşehir Belediye Meclisinin 08.02.2022 tarih ve 87 sayılı meclis kararı ile tadilen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BE69D5" w:rsidRDefault="00BE69D5" w:rsidP="00BE69D5">
            <w:pPr>
              <w:tabs>
                <w:tab w:val="center" w:pos="2268"/>
                <w:tab w:val="center" w:pos="7513"/>
              </w:tabs>
              <w:spacing w:line="240" w:lineRule="exact"/>
              <w:ind w:firstLine="885"/>
              <w:jc w:val="both"/>
              <w:rPr>
                <w:rFonts w:ascii="Arial" w:hAnsi="Arial" w:cs="Arial"/>
                <w:sz w:val="24"/>
                <w:szCs w:val="24"/>
              </w:rPr>
            </w:pPr>
          </w:p>
          <w:p w:rsidR="00582142" w:rsidRDefault="00582142" w:rsidP="00BE69D5">
            <w:pPr>
              <w:tabs>
                <w:tab w:val="center" w:pos="2268"/>
                <w:tab w:val="center" w:pos="7513"/>
              </w:tabs>
              <w:spacing w:line="240" w:lineRule="exact"/>
              <w:ind w:firstLine="885"/>
              <w:jc w:val="both"/>
              <w:rPr>
                <w:rFonts w:ascii="Arial" w:hAnsi="Arial" w:cs="Arial"/>
                <w:sz w:val="24"/>
                <w:szCs w:val="24"/>
              </w:rPr>
            </w:pPr>
          </w:p>
          <w:p w:rsidR="00BE69D5" w:rsidRDefault="007E53F3" w:rsidP="00BE69D5">
            <w:pPr>
              <w:tabs>
                <w:tab w:val="center" w:pos="2268"/>
                <w:tab w:val="center" w:pos="7513"/>
              </w:tabs>
              <w:spacing w:line="240" w:lineRule="exact"/>
              <w:ind w:firstLine="885"/>
              <w:jc w:val="both"/>
              <w:rPr>
                <w:rFonts w:ascii="Arial" w:hAnsi="Arial" w:cs="Arial"/>
                <w:sz w:val="24"/>
                <w:szCs w:val="24"/>
              </w:rPr>
            </w:pPr>
            <w:r w:rsidRPr="007E53F3">
              <w:rPr>
                <w:rFonts w:ascii="Arial" w:hAnsi="Arial" w:cs="Arial"/>
                <w:sz w:val="24"/>
                <w:szCs w:val="24"/>
              </w:rPr>
              <w:t xml:space="preserve">Söz konusu itirazlar Mersin Büyükşehir Belediye Meclisinin 10.10.2022 tarih ve 503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itirazlar olmuştur.  </w:t>
            </w:r>
          </w:p>
          <w:p w:rsidR="00582142" w:rsidRDefault="00582142" w:rsidP="00BE69D5">
            <w:pPr>
              <w:tabs>
                <w:tab w:val="center" w:pos="2268"/>
                <w:tab w:val="center" w:pos="7513"/>
              </w:tabs>
              <w:spacing w:line="240" w:lineRule="exact"/>
              <w:ind w:firstLine="885"/>
              <w:jc w:val="both"/>
              <w:rPr>
                <w:rFonts w:ascii="Arial" w:hAnsi="Arial" w:cs="Arial"/>
                <w:sz w:val="24"/>
                <w:szCs w:val="24"/>
              </w:rPr>
            </w:pPr>
          </w:p>
          <w:p w:rsidR="00582142" w:rsidRDefault="00582142" w:rsidP="00BE69D5">
            <w:pPr>
              <w:tabs>
                <w:tab w:val="center" w:pos="2268"/>
                <w:tab w:val="center" w:pos="7513"/>
              </w:tabs>
              <w:spacing w:line="240" w:lineRule="exact"/>
              <w:ind w:firstLine="885"/>
              <w:jc w:val="both"/>
              <w:rPr>
                <w:rFonts w:ascii="Arial" w:hAnsi="Arial" w:cs="Arial"/>
                <w:sz w:val="24"/>
                <w:szCs w:val="24"/>
              </w:rPr>
            </w:pPr>
          </w:p>
          <w:p w:rsidR="00BE69D5" w:rsidRDefault="007E53F3" w:rsidP="00BE69D5">
            <w:pPr>
              <w:tabs>
                <w:tab w:val="center" w:pos="2268"/>
                <w:tab w:val="center" w:pos="7513"/>
              </w:tabs>
              <w:spacing w:line="240" w:lineRule="exact"/>
              <w:ind w:firstLine="885"/>
              <w:jc w:val="both"/>
              <w:rPr>
                <w:rFonts w:ascii="Arial" w:hAnsi="Arial" w:cs="Arial"/>
                <w:sz w:val="24"/>
                <w:szCs w:val="24"/>
              </w:rPr>
            </w:pPr>
            <w:r w:rsidRPr="007E53F3">
              <w:rPr>
                <w:rFonts w:ascii="Arial" w:hAnsi="Arial" w:cs="Arial"/>
                <w:sz w:val="24"/>
                <w:szCs w:val="24"/>
              </w:rPr>
              <w:t>Söz konusu itirazlar Yenişehir Belediye Meclisi’nin 10.03.2023 tarih ve 58 sayılı kararı ile değerlendirilmiş olup Mersin Büyükşehir Belediye Meclisinin 14.07.2023 tarih ve 313 sayılı kararı ile onaylanmıştır. Uygun görülen itirazlar doğrultusunda revize edilerek onaylanan 1/1000 ölçekli Uygulama İmar Planı değişiklikleri, 3194 sayılı İmar Kanununun 8. Maddesi (b) bendi gereğince 24.08.2023-25.09.2023 tarihleri arasında ve bu tarihler de dahil olmak üzere 1 ay (30 gün) süre ile belediyemiz ilan panosunda ve internet sitesinde eşzamanlı olarak 3. kez askıya çıkarılmış olup ilgili muhtarlık panosunda duyuru yapılmıştır. Söz konusu plana askı süresi içinde 20 (yirmi) adet itiraz olmuştur.</w:t>
            </w:r>
          </w:p>
          <w:p w:rsidR="00BE69D5" w:rsidRDefault="00BE69D5" w:rsidP="00BE69D5">
            <w:pPr>
              <w:tabs>
                <w:tab w:val="center" w:pos="2268"/>
                <w:tab w:val="center" w:pos="7513"/>
              </w:tabs>
              <w:spacing w:line="240" w:lineRule="exact"/>
              <w:ind w:firstLine="885"/>
              <w:jc w:val="both"/>
              <w:rPr>
                <w:rFonts w:ascii="Arial" w:hAnsi="Arial" w:cs="Arial"/>
                <w:sz w:val="24"/>
                <w:szCs w:val="24"/>
              </w:rPr>
            </w:pPr>
          </w:p>
          <w:p w:rsidR="00582142" w:rsidRDefault="00582142" w:rsidP="00BE69D5">
            <w:pPr>
              <w:tabs>
                <w:tab w:val="center" w:pos="2268"/>
                <w:tab w:val="center" w:pos="7513"/>
              </w:tabs>
              <w:spacing w:line="240" w:lineRule="exact"/>
              <w:ind w:firstLine="885"/>
              <w:jc w:val="both"/>
              <w:rPr>
                <w:rFonts w:ascii="Arial" w:hAnsi="Arial" w:cs="Arial"/>
                <w:sz w:val="24"/>
                <w:szCs w:val="24"/>
              </w:rPr>
            </w:pPr>
          </w:p>
          <w:p w:rsidR="007E53F3" w:rsidRPr="00A25A20" w:rsidRDefault="007E53F3" w:rsidP="00582142">
            <w:pPr>
              <w:tabs>
                <w:tab w:val="center" w:pos="2268"/>
                <w:tab w:val="center" w:pos="7513"/>
              </w:tabs>
              <w:spacing w:line="240" w:lineRule="exact"/>
              <w:ind w:firstLine="885"/>
              <w:jc w:val="both"/>
              <w:rPr>
                <w:rFonts w:ascii="Arial" w:hAnsi="Arial" w:cs="Arial"/>
                <w:sz w:val="24"/>
                <w:szCs w:val="24"/>
              </w:rPr>
            </w:pPr>
            <w:r w:rsidRPr="00A25A20">
              <w:rPr>
                <w:rFonts w:ascii="Arial" w:hAnsi="Arial" w:cs="Arial"/>
                <w:sz w:val="24"/>
                <w:szCs w:val="24"/>
              </w:rPr>
              <w:t xml:space="preserve">Ortak komisyon raporu doğrultusunda; Yenişehir I. Etap 1/1000 Ölçekli Revizyon Uygulama İmar Planı’na gelen 20 (yirmi) adet itirazın aşağıdaki şekliyle </w:t>
            </w:r>
            <w:r w:rsidR="00582142" w:rsidRPr="00A25A20">
              <w:rPr>
                <w:rFonts w:ascii="Arial" w:hAnsi="Arial" w:cs="Arial"/>
                <w:sz w:val="24"/>
                <w:szCs w:val="24"/>
              </w:rPr>
              <w:t xml:space="preserve">kabulüne Meclis Üyesi Abdurrahman YILDIZ'ın ret oyuna karşın oy çokluğu  ile karar verildi.  </w:t>
            </w:r>
          </w:p>
          <w:p w:rsidR="00582142" w:rsidRPr="00A25A20" w:rsidRDefault="00582142"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5A3003" w:rsidRDefault="005A3003"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B56276" w:rsidRDefault="00B56276" w:rsidP="00582142">
            <w:pPr>
              <w:tabs>
                <w:tab w:val="center" w:pos="2268"/>
                <w:tab w:val="center" w:pos="7513"/>
              </w:tabs>
              <w:spacing w:line="240" w:lineRule="exact"/>
              <w:ind w:firstLine="885"/>
              <w:jc w:val="both"/>
              <w:rPr>
                <w:rFonts w:ascii="Arial" w:hAnsi="Arial" w:cs="Arial"/>
                <w:sz w:val="24"/>
                <w:szCs w:val="24"/>
              </w:rPr>
            </w:pPr>
          </w:p>
          <w:p w:rsidR="00582142" w:rsidRDefault="00582142" w:rsidP="00582142">
            <w:pPr>
              <w:tabs>
                <w:tab w:val="center" w:pos="2268"/>
                <w:tab w:val="center" w:pos="7513"/>
              </w:tabs>
              <w:spacing w:line="240" w:lineRule="exact"/>
              <w:ind w:firstLine="885"/>
              <w:jc w:val="both"/>
              <w:rPr>
                <w:rFonts w:ascii="Arial" w:hAnsi="Arial" w:cs="Arial"/>
                <w:sz w:val="24"/>
                <w:szCs w:val="24"/>
              </w:rPr>
            </w:pPr>
          </w:p>
          <w:p w:rsidR="00582142" w:rsidRDefault="00A25A20" w:rsidP="00A25A20">
            <w:pPr>
              <w:tabs>
                <w:tab w:val="center" w:pos="2268"/>
                <w:tab w:val="center" w:pos="7513"/>
              </w:tabs>
              <w:spacing w:line="240" w:lineRule="exact"/>
              <w:jc w:val="center"/>
              <w:rPr>
                <w:rFonts w:ascii="Arial" w:hAnsi="Arial" w:cs="Arial"/>
                <w:sz w:val="24"/>
                <w:szCs w:val="24"/>
              </w:rPr>
            </w:pPr>
            <w:r>
              <w:rPr>
                <w:b/>
                <w:sz w:val="24"/>
              </w:rPr>
              <w:lastRenderedPageBreak/>
              <w:t>KARAR</w:t>
            </w:r>
          </w:p>
          <w:p w:rsidR="00582142" w:rsidRDefault="00582142" w:rsidP="007E53F3">
            <w:pPr>
              <w:tabs>
                <w:tab w:val="center" w:pos="2268"/>
                <w:tab w:val="center" w:pos="7513"/>
              </w:tabs>
              <w:spacing w:line="240" w:lineRule="exact"/>
              <w:jc w:val="both"/>
              <w:rPr>
                <w:rFonts w:ascii="Arial" w:hAnsi="Arial" w:cs="Arial"/>
                <w:color w:val="FF0000"/>
                <w:sz w:val="24"/>
                <w:szCs w:val="24"/>
              </w:rPr>
            </w:pPr>
          </w:p>
          <w:tbl>
            <w:tblPr>
              <w:tblW w:w="95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74"/>
              <w:gridCol w:w="1072"/>
              <w:gridCol w:w="736"/>
              <w:gridCol w:w="1216"/>
              <w:gridCol w:w="912"/>
              <w:gridCol w:w="763"/>
              <w:gridCol w:w="699"/>
              <w:gridCol w:w="980"/>
              <w:gridCol w:w="2473"/>
              <w:gridCol w:w="160"/>
            </w:tblGrid>
            <w:tr w:rsidR="007E53F3" w:rsidTr="007E53F3">
              <w:trPr>
                <w:trHeight w:val="492"/>
                <w:jc w:val="center"/>
              </w:trPr>
              <w:tc>
                <w:tcPr>
                  <w:tcW w:w="574" w:type="dxa"/>
                  <w:vMerge w:val="restart"/>
                  <w:tcBorders>
                    <w:top w:val="single" w:sz="12" w:space="0" w:color="auto"/>
                    <w:left w:val="single" w:sz="12" w:space="0" w:color="auto"/>
                    <w:bottom w:val="single" w:sz="6" w:space="0" w:color="auto"/>
                    <w:right w:val="single" w:sz="6" w:space="0" w:color="auto"/>
                  </w:tcBorders>
                  <w:vAlign w:val="center"/>
                  <w:hideMark/>
                </w:tcPr>
                <w:p w:rsidR="007E53F3" w:rsidRDefault="007E53F3">
                  <w:pPr>
                    <w:jc w:val="center"/>
                    <w:rPr>
                      <w:b/>
                      <w:bCs/>
                      <w:color w:val="000000"/>
                    </w:rPr>
                  </w:pPr>
                  <w:r>
                    <w:rPr>
                      <w:b/>
                      <w:bCs/>
                      <w:color w:val="000000"/>
                    </w:rPr>
                    <w:t>Sıra No</w:t>
                  </w:r>
                </w:p>
              </w:tc>
              <w:tc>
                <w:tcPr>
                  <w:tcW w:w="1808" w:type="dxa"/>
                  <w:gridSpan w:val="2"/>
                  <w:vMerge w:val="restart"/>
                  <w:tcBorders>
                    <w:top w:val="single" w:sz="12" w:space="0" w:color="auto"/>
                    <w:left w:val="single" w:sz="6" w:space="0" w:color="auto"/>
                    <w:bottom w:val="single" w:sz="6" w:space="0" w:color="auto"/>
                    <w:right w:val="single" w:sz="6" w:space="0" w:color="auto"/>
                  </w:tcBorders>
                  <w:vAlign w:val="center"/>
                  <w:hideMark/>
                </w:tcPr>
                <w:p w:rsidR="007E53F3" w:rsidRDefault="007E53F3">
                  <w:pPr>
                    <w:jc w:val="center"/>
                    <w:rPr>
                      <w:b/>
                      <w:bCs/>
                      <w:color w:val="000000"/>
                    </w:rPr>
                  </w:pPr>
                  <w:r>
                    <w:rPr>
                      <w:b/>
                      <w:bCs/>
                      <w:color w:val="000000"/>
                    </w:rPr>
                    <w:t>Dilekçe</w:t>
                  </w:r>
                </w:p>
              </w:tc>
              <w:tc>
                <w:tcPr>
                  <w:tcW w:w="1216" w:type="dxa"/>
                  <w:vMerge w:val="restart"/>
                  <w:tcBorders>
                    <w:top w:val="single" w:sz="12" w:space="0" w:color="auto"/>
                    <w:left w:val="single" w:sz="6" w:space="0" w:color="auto"/>
                    <w:bottom w:val="single" w:sz="6" w:space="0" w:color="auto"/>
                    <w:right w:val="single" w:sz="6" w:space="0" w:color="auto"/>
                  </w:tcBorders>
                  <w:vAlign w:val="center"/>
                  <w:hideMark/>
                </w:tcPr>
                <w:p w:rsidR="007E53F3" w:rsidRDefault="007E53F3">
                  <w:pPr>
                    <w:jc w:val="center"/>
                    <w:rPr>
                      <w:b/>
                      <w:bCs/>
                      <w:lang w:eastAsia="en-US"/>
                    </w:rPr>
                  </w:pPr>
                  <w:r>
                    <w:rPr>
                      <w:b/>
                      <w:bCs/>
                    </w:rPr>
                    <w:t>Dilekçe Sahibi</w:t>
                  </w:r>
                </w:p>
              </w:tc>
              <w:tc>
                <w:tcPr>
                  <w:tcW w:w="2374" w:type="dxa"/>
                  <w:gridSpan w:val="3"/>
                  <w:tcBorders>
                    <w:top w:val="single" w:sz="12" w:space="0" w:color="auto"/>
                    <w:left w:val="single" w:sz="6" w:space="0" w:color="auto"/>
                    <w:bottom w:val="single" w:sz="6" w:space="0" w:color="auto"/>
                    <w:right w:val="single" w:sz="6" w:space="0" w:color="auto"/>
                  </w:tcBorders>
                  <w:vAlign w:val="center"/>
                  <w:hideMark/>
                </w:tcPr>
                <w:p w:rsidR="007E53F3" w:rsidRDefault="007E53F3">
                  <w:pPr>
                    <w:jc w:val="center"/>
                    <w:rPr>
                      <w:b/>
                      <w:bCs/>
                      <w:color w:val="000000"/>
                    </w:rPr>
                  </w:pPr>
                  <w:r>
                    <w:rPr>
                      <w:b/>
                      <w:bCs/>
                    </w:rPr>
                    <w:t>İtiraza Konu Alan</w:t>
                  </w:r>
                </w:p>
              </w:tc>
              <w:tc>
                <w:tcPr>
                  <w:tcW w:w="980" w:type="dxa"/>
                  <w:vMerge w:val="restart"/>
                  <w:tcBorders>
                    <w:top w:val="single" w:sz="12" w:space="0" w:color="auto"/>
                    <w:left w:val="single" w:sz="6" w:space="0" w:color="auto"/>
                    <w:bottom w:val="single" w:sz="6" w:space="0" w:color="auto"/>
                    <w:right w:val="single" w:sz="6" w:space="0" w:color="auto"/>
                  </w:tcBorders>
                  <w:vAlign w:val="center"/>
                  <w:hideMark/>
                </w:tcPr>
                <w:p w:rsidR="007E53F3" w:rsidRDefault="007E53F3">
                  <w:pPr>
                    <w:rPr>
                      <w:rFonts w:ascii="Calibri" w:hAnsi="Calibri"/>
                      <w:sz w:val="22"/>
                      <w:szCs w:val="22"/>
                    </w:rPr>
                  </w:pPr>
                </w:p>
              </w:tc>
              <w:tc>
                <w:tcPr>
                  <w:tcW w:w="2473" w:type="dxa"/>
                  <w:vMerge w:val="restart"/>
                  <w:tcBorders>
                    <w:top w:val="single" w:sz="12" w:space="0" w:color="auto"/>
                    <w:left w:val="single" w:sz="6" w:space="0" w:color="auto"/>
                    <w:bottom w:val="single" w:sz="6" w:space="0" w:color="auto"/>
                    <w:right w:val="single" w:sz="12" w:space="0" w:color="auto"/>
                  </w:tcBorders>
                  <w:vAlign w:val="center"/>
                  <w:hideMark/>
                </w:tcPr>
                <w:p w:rsidR="007E53F3" w:rsidRDefault="007E53F3">
                  <w:pPr>
                    <w:jc w:val="center"/>
                    <w:rPr>
                      <w:b/>
                      <w:bCs/>
                      <w:color w:val="000000"/>
                    </w:rPr>
                  </w:pPr>
                  <w:r>
                    <w:rPr>
                      <w:b/>
                      <w:bCs/>
                      <w:color w:val="000000"/>
                    </w:rPr>
                    <w:t>Değerlendirme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492"/>
                <w:jc w:val="center"/>
              </w:trPr>
              <w:tc>
                <w:tcPr>
                  <w:tcW w:w="574" w:type="dxa"/>
                  <w:vMerge/>
                  <w:tcBorders>
                    <w:top w:val="single" w:sz="12" w:space="0" w:color="auto"/>
                    <w:left w:val="single" w:sz="12" w:space="0" w:color="auto"/>
                    <w:bottom w:val="single" w:sz="6" w:space="0" w:color="auto"/>
                    <w:right w:val="single" w:sz="6" w:space="0" w:color="auto"/>
                  </w:tcBorders>
                  <w:vAlign w:val="center"/>
                  <w:hideMark/>
                </w:tcPr>
                <w:p w:rsidR="007E53F3" w:rsidRDefault="007E53F3">
                  <w:pPr>
                    <w:rPr>
                      <w:b/>
                      <w:bCs/>
                      <w:color w:val="000000"/>
                    </w:rPr>
                  </w:pPr>
                </w:p>
              </w:tc>
              <w:tc>
                <w:tcPr>
                  <w:tcW w:w="2544" w:type="dxa"/>
                  <w:gridSpan w:val="2"/>
                  <w:vMerge/>
                  <w:tcBorders>
                    <w:top w:val="single" w:sz="12" w:space="0" w:color="auto"/>
                    <w:left w:val="single" w:sz="6" w:space="0" w:color="auto"/>
                    <w:bottom w:val="single" w:sz="6" w:space="0" w:color="auto"/>
                    <w:right w:val="single" w:sz="6" w:space="0" w:color="auto"/>
                  </w:tcBorders>
                  <w:vAlign w:val="center"/>
                  <w:hideMark/>
                </w:tcPr>
                <w:p w:rsidR="007E53F3" w:rsidRDefault="007E53F3">
                  <w:pPr>
                    <w:rPr>
                      <w:b/>
                      <w:bCs/>
                      <w:color w:val="000000"/>
                    </w:rPr>
                  </w:pPr>
                </w:p>
              </w:tc>
              <w:tc>
                <w:tcPr>
                  <w:tcW w:w="1216" w:type="dxa"/>
                  <w:vMerge/>
                  <w:tcBorders>
                    <w:top w:val="single" w:sz="12" w:space="0" w:color="auto"/>
                    <w:left w:val="single" w:sz="6" w:space="0" w:color="auto"/>
                    <w:bottom w:val="single" w:sz="6" w:space="0" w:color="auto"/>
                    <w:right w:val="single" w:sz="6" w:space="0" w:color="auto"/>
                  </w:tcBorders>
                  <w:vAlign w:val="center"/>
                  <w:hideMark/>
                </w:tcPr>
                <w:p w:rsidR="007E53F3" w:rsidRDefault="007E53F3">
                  <w:pPr>
                    <w:rPr>
                      <w:b/>
                      <w:bCs/>
                      <w:lang w:eastAsia="en-US"/>
                    </w:rPr>
                  </w:pPr>
                </w:p>
              </w:tc>
              <w:tc>
                <w:tcPr>
                  <w:tcW w:w="912" w:type="dxa"/>
                  <w:vMerge w:val="restart"/>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rPr>
                      <w:b/>
                      <w:bCs/>
                      <w:color w:val="000000"/>
                    </w:rPr>
                  </w:pPr>
                  <w:r>
                    <w:rPr>
                      <w:b/>
                      <w:bCs/>
                      <w:color w:val="000000"/>
                    </w:rPr>
                    <w:t>Mahalle</w:t>
                  </w:r>
                </w:p>
              </w:tc>
              <w:tc>
                <w:tcPr>
                  <w:tcW w:w="763" w:type="dxa"/>
                  <w:vMerge w:val="restart"/>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rPr>
                      <w:b/>
                      <w:bCs/>
                      <w:color w:val="000000"/>
                    </w:rPr>
                  </w:pPr>
                  <w:r>
                    <w:rPr>
                      <w:b/>
                      <w:bCs/>
                      <w:color w:val="000000"/>
                    </w:rPr>
                    <w:t>Ada</w:t>
                  </w:r>
                </w:p>
              </w:tc>
              <w:tc>
                <w:tcPr>
                  <w:tcW w:w="699" w:type="dxa"/>
                  <w:vMerge w:val="restart"/>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rPr>
                      <w:b/>
                      <w:bCs/>
                      <w:color w:val="000000"/>
                    </w:rPr>
                  </w:pPr>
                  <w:r>
                    <w:rPr>
                      <w:b/>
                      <w:bCs/>
                      <w:color w:val="000000"/>
                    </w:rPr>
                    <w:t>Parsel</w:t>
                  </w:r>
                </w:p>
              </w:tc>
              <w:tc>
                <w:tcPr>
                  <w:tcW w:w="980" w:type="dxa"/>
                  <w:vMerge/>
                  <w:tcBorders>
                    <w:top w:val="single" w:sz="12" w:space="0" w:color="auto"/>
                    <w:left w:val="single" w:sz="6" w:space="0" w:color="auto"/>
                    <w:bottom w:val="single" w:sz="6" w:space="0" w:color="auto"/>
                    <w:right w:val="single" w:sz="6" w:space="0" w:color="auto"/>
                  </w:tcBorders>
                  <w:vAlign w:val="center"/>
                  <w:hideMark/>
                </w:tcPr>
                <w:p w:rsidR="007E53F3" w:rsidRDefault="007E53F3">
                  <w:pPr>
                    <w:rPr>
                      <w:rFonts w:ascii="Calibri" w:hAnsi="Calibri"/>
                      <w:sz w:val="22"/>
                      <w:szCs w:val="22"/>
                    </w:rPr>
                  </w:pPr>
                </w:p>
              </w:tc>
              <w:tc>
                <w:tcPr>
                  <w:tcW w:w="2473" w:type="dxa"/>
                  <w:vMerge/>
                  <w:tcBorders>
                    <w:top w:val="single" w:sz="12" w:space="0" w:color="auto"/>
                    <w:left w:val="single" w:sz="6" w:space="0" w:color="auto"/>
                    <w:bottom w:val="single" w:sz="6" w:space="0" w:color="auto"/>
                    <w:right w:val="single" w:sz="12" w:space="0" w:color="auto"/>
                  </w:tcBorders>
                  <w:vAlign w:val="center"/>
                  <w:hideMark/>
                </w:tcPr>
                <w:p w:rsidR="007E53F3" w:rsidRDefault="007E53F3">
                  <w:pPr>
                    <w:rPr>
                      <w:b/>
                      <w:bCs/>
                      <w:color w:val="000000"/>
                    </w:rPr>
                  </w:pP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522"/>
                <w:jc w:val="center"/>
              </w:trPr>
              <w:tc>
                <w:tcPr>
                  <w:tcW w:w="574" w:type="dxa"/>
                  <w:vMerge/>
                  <w:tcBorders>
                    <w:top w:val="single" w:sz="12" w:space="0" w:color="auto"/>
                    <w:left w:val="single" w:sz="12" w:space="0" w:color="auto"/>
                    <w:bottom w:val="single" w:sz="6" w:space="0" w:color="auto"/>
                    <w:right w:val="single" w:sz="6" w:space="0" w:color="auto"/>
                  </w:tcBorders>
                  <w:vAlign w:val="center"/>
                  <w:hideMark/>
                </w:tcPr>
                <w:p w:rsidR="007E53F3" w:rsidRDefault="007E53F3">
                  <w:pPr>
                    <w:rPr>
                      <w:b/>
                      <w:bCs/>
                      <w:color w:val="000000"/>
                    </w:rPr>
                  </w:pP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rPr>
                      <w:b/>
                      <w:bCs/>
                      <w:color w:val="000000"/>
                    </w:rPr>
                  </w:pPr>
                  <w:r>
                    <w:rPr>
                      <w:b/>
                      <w:bCs/>
                      <w:color w:val="000000"/>
                    </w:rPr>
                    <w:t>Tarihi</w:t>
                  </w:r>
                </w:p>
              </w:tc>
              <w:tc>
                <w:tcPr>
                  <w:tcW w:w="73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rPr>
                      <w:b/>
                      <w:bCs/>
                      <w:color w:val="000000"/>
                    </w:rPr>
                  </w:pPr>
                  <w:r>
                    <w:rPr>
                      <w:b/>
                      <w:bCs/>
                      <w:color w:val="000000"/>
                    </w:rPr>
                    <w:t>Sayısı</w:t>
                  </w:r>
                </w:p>
              </w:tc>
              <w:tc>
                <w:tcPr>
                  <w:tcW w:w="1216" w:type="dxa"/>
                  <w:vMerge/>
                  <w:tcBorders>
                    <w:top w:val="single" w:sz="12" w:space="0" w:color="auto"/>
                    <w:left w:val="single" w:sz="6" w:space="0" w:color="auto"/>
                    <w:bottom w:val="single" w:sz="6" w:space="0" w:color="auto"/>
                    <w:right w:val="single" w:sz="6" w:space="0" w:color="auto"/>
                  </w:tcBorders>
                  <w:vAlign w:val="center"/>
                  <w:hideMark/>
                </w:tcPr>
                <w:p w:rsidR="007E53F3" w:rsidRDefault="007E53F3">
                  <w:pPr>
                    <w:rPr>
                      <w:b/>
                      <w:bCs/>
                      <w:lang w:eastAsia="en-US"/>
                    </w:rPr>
                  </w:pPr>
                </w:p>
              </w:tc>
              <w:tc>
                <w:tcPr>
                  <w:tcW w:w="2374" w:type="dxa"/>
                  <w:vMerge/>
                  <w:tcBorders>
                    <w:top w:val="single" w:sz="6" w:space="0" w:color="auto"/>
                    <w:left w:val="single" w:sz="6" w:space="0" w:color="auto"/>
                    <w:bottom w:val="single" w:sz="6" w:space="0" w:color="auto"/>
                    <w:right w:val="single" w:sz="6" w:space="0" w:color="auto"/>
                  </w:tcBorders>
                  <w:vAlign w:val="center"/>
                  <w:hideMark/>
                </w:tcPr>
                <w:p w:rsidR="007E53F3" w:rsidRDefault="007E53F3">
                  <w:pPr>
                    <w:rPr>
                      <w:b/>
                      <w:bCs/>
                      <w:color w:val="000000"/>
                    </w:rPr>
                  </w:pPr>
                </w:p>
              </w:tc>
              <w:tc>
                <w:tcPr>
                  <w:tcW w:w="763" w:type="dxa"/>
                  <w:vMerge/>
                  <w:tcBorders>
                    <w:top w:val="single" w:sz="6" w:space="0" w:color="auto"/>
                    <w:left w:val="single" w:sz="6" w:space="0" w:color="auto"/>
                    <w:bottom w:val="single" w:sz="6" w:space="0" w:color="auto"/>
                    <w:right w:val="single" w:sz="6" w:space="0" w:color="auto"/>
                  </w:tcBorders>
                  <w:vAlign w:val="center"/>
                  <w:hideMark/>
                </w:tcPr>
                <w:p w:rsidR="007E53F3" w:rsidRDefault="007E53F3">
                  <w:pPr>
                    <w:rPr>
                      <w:b/>
                      <w:bCs/>
                      <w:color w:val="000000"/>
                    </w:rPr>
                  </w:pPr>
                </w:p>
              </w:tc>
              <w:tc>
                <w:tcPr>
                  <w:tcW w:w="699" w:type="dxa"/>
                  <w:vMerge/>
                  <w:tcBorders>
                    <w:top w:val="single" w:sz="6" w:space="0" w:color="auto"/>
                    <w:left w:val="single" w:sz="6" w:space="0" w:color="auto"/>
                    <w:bottom w:val="single" w:sz="6" w:space="0" w:color="auto"/>
                    <w:right w:val="single" w:sz="6" w:space="0" w:color="auto"/>
                  </w:tcBorders>
                  <w:vAlign w:val="center"/>
                  <w:hideMark/>
                </w:tcPr>
                <w:p w:rsidR="007E53F3" w:rsidRDefault="007E53F3">
                  <w:pPr>
                    <w:rPr>
                      <w:b/>
                      <w:bCs/>
                      <w:color w:val="000000"/>
                    </w:rPr>
                  </w:pPr>
                </w:p>
              </w:tc>
              <w:tc>
                <w:tcPr>
                  <w:tcW w:w="980" w:type="dxa"/>
                  <w:vMerge/>
                  <w:tcBorders>
                    <w:top w:val="single" w:sz="12" w:space="0" w:color="auto"/>
                    <w:left w:val="single" w:sz="6" w:space="0" w:color="auto"/>
                    <w:bottom w:val="single" w:sz="6" w:space="0" w:color="auto"/>
                    <w:right w:val="single" w:sz="6" w:space="0" w:color="auto"/>
                  </w:tcBorders>
                  <w:vAlign w:val="center"/>
                  <w:hideMark/>
                </w:tcPr>
                <w:p w:rsidR="007E53F3" w:rsidRDefault="007E53F3">
                  <w:pPr>
                    <w:rPr>
                      <w:rFonts w:ascii="Calibri" w:hAnsi="Calibri"/>
                      <w:sz w:val="22"/>
                      <w:szCs w:val="22"/>
                    </w:rPr>
                  </w:pPr>
                </w:p>
              </w:tc>
              <w:tc>
                <w:tcPr>
                  <w:tcW w:w="2473" w:type="dxa"/>
                  <w:vMerge/>
                  <w:tcBorders>
                    <w:top w:val="single" w:sz="12" w:space="0" w:color="auto"/>
                    <w:left w:val="single" w:sz="6" w:space="0" w:color="auto"/>
                    <w:bottom w:val="single" w:sz="6" w:space="0" w:color="auto"/>
                    <w:right w:val="single" w:sz="12" w:space="0" w:color="auto"/>
                  </w:tcBorders>
                  <w:vAlign w:val="center"/>
                  <w:hideMark/>
                </w:tcPr>
                <w:p w:rsidR="007E53F3" w:rsidRDefault="007E53F3">
                  <w:pPr>
                    <w:rPr>
                      <w:b/>
                      <w:bCs/>
                      <w:color w:val="000000"/>
                    </w:rPr>
                  </w:pP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41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18.09.2023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39864</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r>
                    <w:t xml:space="preserve">     </w:t>
                  </w:r>
                </w:p>
                <w:p w:rsidR="007E53F3" w:rsidRDefault="007E53F3"/>
                <w:p w:rsidR="007E53F3" w:rsidRDefault="007E53F3"/>
                <w:p w:rsidR="007E53F3" w:rsidRDefault="007E53F3"/>
                <w:p w:rsidR="007E53F3" w:rsidRDefault="007E53F3"/>
                <w:p w:rsidR="007E53F3" w:rsidRDefault="007E53F3"/>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rPr>
                      <w:color w:val="000000"/>
                    </w:rPr>
                  </w:pPr>
                  <w:r>
                    <w:rPr>
                      <w:color w:val="000000"/>
                    </w:rP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spacing w:after="200" w:line="276" w:lineRule="auto"/>
                    <w:jc w:val="both"/>
                    <w:rPr>
                      <w:lang w:eastAsia="en-US"/>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 xml:space="preserve">ekli paraflı krokide görüldüğü şekliyle yeniden düzenlenmesine, </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15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2</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20.09.2023</w:t>
                  </w:r>
                </w:p>
              </w:tc>
              <w:tc>
                <w:tcPr>
                  <w:tcW w:w="73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40276</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r>
                    <w:t xml:space="preserve">     </w:t>
                  </w:r>
                </w:p>
                <w:p w:rsidR="007E53F3" w:rsidRDefault="007E53F3"/>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rPr>
                    <w:t>ekli paraflı krokide görüldüğü şekliyle</w:t>
                  </w:r>
                  <w:r>
                    <w:rPr>
                      <w:b/>
                      <w:color w:val="FF0000"/>
                    </w:rPr>
                    <w:t xml:space="preserve"> </w:t>
                  </w:r>
                  <w:r>
                    <w:rPr>
                      <w:b/>
                    </w:rPr>
                    <w:t>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15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3</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19.09.2023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40028</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679"/>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lastRenderedPageBreak/>
                    <w:t>4</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19.09.2023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40030</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263"/>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5</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20.09.2023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40515</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tcPr>
                <w:p w:rsidR="007E53F3" w:rsidRDefault="007E53F3">
                  <w:pPr>
                    <w:jc w:val="center"/>
                  </w:pPr>
                </w:p>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39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6</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20.09.2023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40511</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531"/>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7</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40630</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w:t>
                  </w:r>
                  <w:r>
                    <w:lastRenderedPageBreak/>
                    <w:t xml:space="preserve">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51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lastRenderedPageBreak/>
                    <w:t>8</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40628</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50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9</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20.09.2023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40441</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44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10</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14.09.2023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39381</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45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lastRenderedPageBreak/>
                    <w:t>11</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13.09.2023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38956</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30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12</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14.09.2023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39380</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36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13</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14.09.2023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39275</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41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14</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22.09.2023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40821</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w:t>
                  </w:r>
                  <w:r>
                    <w:lastRenderedPageBreak/>
                    <w:t xml:space="preserve">sebebiyle </w:t>
                  </w:r>
                  <w:r>
                    <w:rPr>
                      <w:b/>
                      <w:bCs/>
                    </w:rPr>
                    <w:t>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397"/>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lastRenderedPageBreak/>
                    <w:t>15</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22.09.2023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40963</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6268</w:t>
                  </w:r>
                </w:p>
                <w:p w:rsidR="007E53F3" w:rsidRDefault="007E53F3">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p w:rsidR="007E53F3" w:rsidRDefault="007E53F3">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bookmarkStart w:id="0" w:name="_GoBack"/>
                  <w:bookmarkEnd w:id="0"/>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142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16</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40637</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350</w:t>
                  </w:r>
                </w:p>
              </w:tc>
              <w:tc>
                <w:tcPr>
                  <w:tcW w:w="699" w:type="dxa"/>
                  <w:tcBorders>
                    <w:top w:val="single" w:sz="6" w:space="0" w:color="auto"/>
                    <w:left w:val="single" w:sz="6" w:space="0" w:color="auto"/>
                    <w:bottom w:val="single" w:sz="6" w:space="0" w:color="auto"/>
                    <w:right w:val="single" w:sz="6" w:space="0" w:color="auto"/>
                  </w:tcBorders>
                </w:tcPr>
                <w:p w:rsidR="007E53F3" w:rsidRDefault="007E53F3">
                  <w:r>
                    <w:t xml:space="preserve">   </w:t>
                  </w:r>
                </w:p>
                <w:p w:rsidR="007E53F3" w:rsidRDefault="007E53F3">
                  <w:pPr>
                    <w:jc w:val="center"/>
                  </w:pPr>
                </w:p>
                <w:p w:rsidR="007E53F3" w:rsidRDefault="007E53F3">
                  <w:pPr>
                    <w:jc w:val="center"/>
                  </w:pPr>
                  <w:r>
                    <w:t>1</w:t>
                  </w:r>
                </w:p>
                <w:p w:rsidR="007E53F3" w:rsidRDefault="007E53F3">
                  <w:pPr>
                    <w:jc w:val="center"/>
                  </w:pP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color w:val="000000"/>
                    </w:rPr>
                    <w:t xml:space="preserve">itiraza konu parselin Yenişehir  III.Etap 1/1000 ölçekli ilave ve Revizyon Uygulama imar planı içerisinde kaldığı anlaşıldığından </w:t>
                  </w:r>
                  <w:r>
                    <w:rPr>
                      <w:b/>
                      <w:color w:val="000000"/>
                    </w:rPr>
                    <w:t>reddine,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2172"/>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17</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40636</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350</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Pr>
                    <w:jc w:val="center"/>
                  </w:pPr>
                </w:p>
                <w:p w:rsidR="007E53F3" w:rsidRDefault="007E53F3">
                  <w:pPr>
                    <w:jc w:val="center"/>
                  </w:pPr>
                  <w:r>
                    <w:t>1</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color w:val="000000"/>
                    </w:rPr>
                    <w:t xml:space="preserve">itiraza konu parselin Yenişehir  III.Etap 1/1000 ölçekli ilave ve Revizyon Uygulama imar planı içerisinde kaldığı anlaşıldığından </w:t>
                  </w:r>
                  <w:r>
                    <w:rPr>
                      <w:b/>
                      <w:color w:val="000000"/>
                    </w:rPr>
                    <w:t>reddine,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688"/>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18</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25.09.2023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41222</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Türk Mühendis ve Mimar Odaları Birliği</w:t>
                  </w:r>
                </w:p>
                <w:p w:rsidR="007E53F3" w:rsidRDefault="007E53F3">
                  <w:pPr>
                    <w:jc w:val="center"/>
                  </w:pPr>
                  <w:r>
                    <w:t>Harita ve Kadastro Mühendisleri Odası Mersin İl temsilciliği</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699"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b/>
                      <w:bCs/>
                    </w:rPr>
                    <w:t xml:space="preserve">kabulüne, </w:t>
                  </w:r>
                  <w:r>
                    <w:t>plan notlarının ilgili kısmının</w:t>
                  </w:r>
                  <w:r>
                    <w:rPr>
                      <w:b/>
                      <w:bCs/>
                    </w:rPr>
                    <w:t xml:space="preserve"> ekli paraflı krokide görüldüğü şekliyle yeniden düzenlenmesine,</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972"/>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7E53F3" w:rsidRDefault="007E53F3">
                  <w:pPr>
                    <w:jc w:val="center"/>
                    <w:rPr>
                      <w:b/>
                      <w:bCs/>
                    </w:rPr>
                  </w:pPr>
                  <w:r>
                    <w:rPr>
                      <w:b/>
                      <w:bCs/>
                    </w:rPr>
                    <w:t>19</w:t>
                  </w:r>
                </w:p>
              </w:tc>
              <w:tc>
                <w:tcPr>
                  <w:tcW w:w="107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22.09.2023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7E53F3" w:rsidRDefault="007E53F3">
                  <w:pPr>
                    <w:jc w:val="center"/>
                  </w:pPr>
                  <w:r>
                    <w:t>40875</w:t>
                  </w:r>
                </w:p>
              </w:tc>
              <w:tc>
                <w:tcPr>
                  <w:tcW w:w="1216"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Bahçe</w:t>
                  </w:r>
                </w:p>
              </w:tc>
              <w:tc>
                <w:tcPr>
                  <w:tcW w:w="763"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610</w:t>
                  </w:r>
                </w:p>
              </w:tc>
              <w:tc>
                <w:tcPr>
                  <w:tcW w:w="699" w:type="dxa"/>
                  <w:tcBorders>
                    <w:top w:val="single" w:sz="6" w:space="0" w:color="auto"/>
                    <w:left w:val="single" w:sz="6" w:space="0" w:color="auto"/>
                    <w:bottom w:val="single" w:sz="6" w:space="0" w:color="auto"/>
                    <w:right w:val="single" w:sz="6" w:space="0" w:color="auto"/>
                  </w:tcBorders>
                </w:tcPr>
                <w:p w:rsidR="007E53F3" w:rsidRDefault="007E53F3">
                  <w:pPr>
                    <w:jc w:val="center"/>
                  </w:pPr>
                </w:p>
                <w:p w:rsidR="007E53F3" w:rsidRDefault="007E53F3"/>
                <w:p w:rsidR="007E53F3" w:rsidRDefault="007E53F3"/>
                <w:p w:rsidR="007E53F3" w:rsidRDefault="007E53F3"/>
                <w:p w:rsidR="007E53F3" w:rsidRDefault="007E53F3">
                  <w:pPr>
                    <w:jc w:val="center"/>
                  </w:pPr>
                  <w:r>
                    <w:t>2</w:t>
                  </w:r>
                </w:p>
              </w:tc>
              <w:tc>
                <w:tcPr>
                  <w:tcW w:w="980" w:type="dxa"/>
                  <w:tcBorders>
                    <w:top w:val="single" w:sz="6" w:space="0" w:color="auto"/>
                    <w:left w:val="single" w:sz="6" w:space="0" w:color="auto"/>
                    <w:bottom w:val="single" w:sz="6"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7E53F3" w:rsidRDefault="007E53F3">
                  <w:pPr>
                    <w:jc w:val="both"/>
                    <w:rPr>
                      <w:color w:val="FF0000"/>
                    </w:rPr>
                  </w:pPr>
                  <w:r>
                    <w:rPr>
                      <w:color w:val="000000"/>
                    </w:rPr>
                    <w:t xml:space="preserve">askıya çıkarılmış bölgeler dışında kaldığı, Mersin Büyükşehir Belediye Meclisinin </w:t>
                  </w:r>
                  <w:r>
                    <w:rPr>
                      <w:bCs/>
                      <w:color w:val="000000"/>
                    </w:rPr>
                    <w:t xml:space="preserve">14.07.2023 </w:t>
                  </w:r>
                  <w:r>
                    <w:rPr>
                      <w:color w:val="000000"/>
                    </w:rPr>
                    <w:t xml:space="preserve">tarih ve 313 sayılı kararında söz konusu parsele ilişkin 1/1000 Ölçekli Uygulama İmar Planı’nda yeni bir düzenleme yapılmadığı anlaşıldığından </w:t>
                  </w:r>
                  <w:r>
                    <w:rPr>
                      <w:b/>
                      <w:bCs/>
                      <w:color w:val="000000"/>
                    </w:rPr>
                    <w:t>reddine</w:t>
                  </w:r>
                  <w:r>
                    <w:rPr>
                      <w:bCs/>
                      <w:color w:val="000000"/>
                    </w:rPr>
                    <w:t>,</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r w:rsidR="007E53F3" w:rsidTr="007E53F3">
              <w:trPr>
                <w:trHeight w:val="2292"/>
                <w:jc w:val="center"/>
              </w:trPr>
              <w:tc>
                <w:tcPr>
                  <w:tcW w:w="574" w:type="dxa"/>
                  <w:tcBorders>
                    <w:top w:val="single" w:sz="6" w:space="0" w:color="auto"/>
                    <w:left w:val="single" w:sz="12" w:space="0" w:color="auto"/>
                    <w:bottom w:val="single" w:sz="12" w:space="0" w:color="auto"/>
                    <w:right w:val="single" w:sz="6" w:space="0" w:color="auto"/>
                  </w:tcBorders>
                  <w:vAlign w:val="center"/>
                  <w:hideMark/>
                </w:tcPr>
                <w:p w:rsidR="007E53F3" w:rsidRDefault="007E53F3">
                  <w:pPr>
                    <w:jc w:val="center"/>
                    <w:rPr>
                      <w:b/>
                      <w:bCs/>
                    </w:rPr>
                  </w:pPr>
                  <w:r>
                    <w:rPr>
                      <w:b/>
                      <w:bCs/>
                    </w:rPr>
                    <w:lastRenderedPageBreak/>
                    <w:t>20</w:t>
                  </w:r>
                </w:p>
              </w:tc>
              <w:tc>
                <w:tcPr>
                  <w:tcW w:w="1072" w:type="dxa"/>
                  <w:tcBorders>
                    <w:top w:val="single" w:sz="6" w:space="0" w:color="auto"/>
                    <w:left w:val="single" w:sz="6" w:space="0" w:color="auto"/>
                    <w:bottom w:val="single" w:sz="12" w:space="0" w:color="auto"/>
                    <w:right w:val="single" w:sz="6" w:space="0" w:color="auto"/>
                  </w:tcBorders>
                  <w:vAlign w:val="center"/>
                  <w:hideMark/>
                </w:tcPr>
                <w:p w:rsidR="007E53F3" w:rsidRDefault="007E53F3">
                  <w:pPr>
                    <w:jc w:val="center"/>
                  </w:pPr>
                  <w:r>
                    <w:t>25.09.2023</w:t>
                  </w:r>
                </w:p>
              </w:tc>
              <w:tc>
                <w:tcPr>
                  <w:tcW w:w="736" w:type="dxa"/>
                  <w:tcBorders>
                    <w:top w:val="single" w:sz="6" w:space="0" w:color="auto"/>
                    <w:left w:val="single" w:sz="6" w:space="0" w:color="auto"/>
                    <w:bottom w:val="single" w:sz="12" w:space="0" w:color="auto"/>
                    <w:right w:val="single" w:sz="6" w:space="0" w:color="auto"/>
                  </w:tcBorders>
                  <w:noWrap/>
                  <w:vAlign w:val="center"/>
                  <w:hideMark/>
                </w:tcPr>
                <w:p w:rsidR="007E53F3" w:rsidRDefault="007E53F3">
                  <w:pPr>
                    <w:jc w:val="center"/>
                  </w:pPr>
                  <w:r>
                    <w:t>41247</w:t>
                  </w:r>
                </w:p>
              </w:tc>
              <w:tc>
                <w:tcPr>
                  <w:tcW w:w="1216" w:type="dxa"/>
                  <w:tcBorders>
                    <w:top w:val="single" w:sz="6" w:space="0" w:color="auto"/>
                    <w:left w:val="single" w:sz="6" w:space="0" w:color="auto"/>
                    <w:bottom w:val="single" w:sz="12" w:space="0" w:color="auto"/>
                    <w:right w:val="single" w:sz="6" w:space="0" w:color="auto"/>
                  </w:tcBorders>
                  <w:vAlign w:val="center"/>
                  <w:hideMark/>
                </w:tcPr>
                <w:p w:rsidR="007E53F3" w:rsidRDefault="007E53F3">
                  <w:pPr>
                    <w:jc w:val="center"/>
                  </w:pPr>
                  <w:r>
                    <w:t>***</w:t>
                  </w:r>
                </w:p>
              </w:tc>
              <w:tc>
                <w:tcPr>
                  <w:tcW w:w="912" w:type="dxa"/>
                  <w:tcBorders>
                    <w:top w:val="single" w:sz="6" w:space="0" w:color="auto"/>
                    <w:left w:val="single" w:sz="6" w:space="0" w:color="auto"/>
                    <w:bottom w:val="single" w:sz="12" w:space="0" w:color="auto"/>
                    <w:right w:val="single" w:sz="6" w:space="0" w:color="auto"/>
                  </w:tcBorders>
                  <w:vAlign w:val="center"/>
                  <w:hideMark/>
                </w:tcPr>
                <w:p w:rsidR="007E53F3" w:rsidRDefault="007E53F3">
                  <w:pPr>
                    <w:jc w:val="center"/>
                  </w:pPr>
                  <w:r>
                    <w:t>Menteş</w:t>
                  </w:r>
                </w:p>
              </w:tc>
              <w:tc>
                <w:tcPr>
                  <w:tcW w:w="763" w:type="dxa"/>
                  <w:tcBorders>
                    <w:top w:val="single" w:sz="6" w:space="0" w:color="auto"/>
                    <w:left w:val="single" w:sz="6" w:space="0" w:color="auto"/>
                    <w:bottom w:val="single" w:sz="12" w:space="0" w:color="auto"/>
                    <w:right w:val="single" w:sz="6" w:space="0" w:color="auto"/>
                  </w:tcBorders>
                  <w:vAlign w:val="center"/>
                  <w:hideMark/>
                </w:tcPr>
                <w:p w:rsidR="007E53F3" w:rsidRDefault="007E53F3">
                  <w:pPr>
                    <w:jc w:val="center"/>
                  </w:pPr>
                  <w:r>
                    <w:t>11884</w:t>
                  </w:r>
                </w:p>
              </w:tc>
              <w:tc>
                <w:tcPr>
                  <w:tcW w:w="699" w:type="dxa"/>
                  <w:tcBorders>
                    <w:top w:val="single" w:sz="6" w:space="0" w:color="auto"/>
                    <w:left w:val="single" w:sz="6" w:space="0" w:color="auto"/>
                    <w:bottom w:val="single" w:sz="12" w:space="0" w:color="auto"/>
                    <w:right w:val="single" w:sz="6" w:space="0" w:color="auto"/>
                  </w:tcBorders>
                </w:tcPr>
                <w:p w:rsidR="007E53F3" w:rsidRDefault="007E53F3">
                  <w:pPr>
                    <w:jc w:val="center"/>
                  </w:pPr>
                </w:p>
                <w:p w:rsidR="007E53F3" w:rsidRDefault="007E53F3">
                  <w:pPr>
                    <w:jc w:val="center"/>
                  </w:pPr>
                </w:p>
                <w:p w:rsidR="007E53F3" w:rsidRDefault="007E53F3">
                  <w:pPr>
                    <w:jc w:val="center"/>
                  </w:pPr>
                </w:p>
                <w:p w:rsidR="007E53F3" w:rsidRDefault="007E53F3"/>
                <w:p w:rsidR="007E53F3" w:rsidRDefault="007E53F3">
                  <w:pPr>
                    <w:jc w:val="center"/>
                  </w:pPr>
                  <w:r>
                    <w:t>1</w:t>
                  </w:r>
                </w:p>
                <w:p w:rsidR="007E53F3" w:rsidRDefault="007E53F3">
                  <w:pPr>
                    <w:jc w:val="center"/>
                  </w:pPr>
                </w:p>
              </w:tc>
              <w:tc>
                <w:tcPr>
                  <w:tcW w:w="980" w:type="dxa"/>
                  <w:tcBorders>
                    <w:top w:val="single" w:sz="6" w:space="0" w:color="auto"/>
                    <w:left w:val="single" w:sz="6" w:space="0" w:color="auto"/>
                    <w:bottom w:val="single" w:sz="12" w:space="0" w:color="auto"/>
                    <w:right w:val="single" w:sz="6" w:space="0" w:color="auto"/>
                  </w:tcBorders>
                  <w:vAlign w:val="center"/>
                  <w:hideMark/>
                </w:tcPr>
                <w:p w:rsidR="007E53F3" w:rsidRDefault="007E53F3">
                  <w:pPr>
                    <w:jc w:val="center"/>
                  </w:pPr>
                  <w:r>
                    <w:t>Parsele ilişkin itirazın</w:t>
                  </w:r>
                </w:p>
              </w:tc>
              <w:tc>
                <w:tcPr>
                  <w:tcW w:w="2473" w:type="dxa"/>
                  <w:tcBorders>
                    <w:top w:val="single" w:sz="6" w:space="0" w:color="auto"/>
                    <w:left w:val="single" w:sz="6" w:space="0" w:color="auto"/>
                    <w:bottom w:val="single" w:sz="12" w:space="0" w:color="auto"/>
                    <w:right w:val="single" w:sz="12" w:space="0" w:color="auto"/>
                  </w:tcBorders>
                  <w:vAlign w:val="center"/>
                  <w:hideMark/>
                </w:tcPr>
                <w:p w:rsidR="007E53F3" w:rsidRDefault="007E53F3">
                  <w:pPr>
                    <w:jc w:val="both"/>
                    <w:rPr>
                      <w:color w:val="FF0000"/>
                    </w:rPr>
                  </w:pPr>
                  <w:r>
                    <w:rPr>
                      <w:color w:val="000000"/>
                    </w:rPr>
                    <w:t xml:space="preserve">askıya çıkarılmış bölgeler dışında kaldığı, Mersin Büyükşehir Belediye Meclisinin </w:t>
                  </w:r>
                  <w:r>
                    <w:rPr>
                      <w:bCs/>
                      <w:color w:val="000000"/>
                    </w:rPr>
                    <w:t xml:space="preserve">14.07.2023 </w:t>
                  </w:r>
                  <w:r>
                    <w:rPr>
                      <w:color w:val="000000"/>
                    </w:rPr>
                    <w:t xml:space="preserve">tarih ve 313 sayılı kararında söz konusu parsele ilişkin 1/1000 Ölçekli Uygulama İmar Planı’nda yeni bir düzenleme yapılmadığı anlaşıldığından </w:t>
                  </w:r>
                  <w:r>
                    <w:rPr>
                      <w:b/>
                      <w:bCs/>
                      <w:color w:val="000000"/>
                    </w:rPr>
                    <w:t>reddine</w:t>
                  </w:r>
                  <w:r>
                    <w:rPr>
                      <w:bCs/>
                      <w:color w:val="000000"/>
                    </w:rPr>
                    <w:t>,</w:t>
                  </w:r>
                </w:p>
              </w:tc>
              <w:tc>
                <w:tcPr>
                  <w:tcW w:w="160" w:type="dxa"/>
                  <w:tcBorders>
                    <w:top w:val="nil"/>
                    <w:left w:val="nil"/>
                    <w:bottom w:val="nil"/>
                    <w:right w:val="nil"/>
                  </w:tcBorders>
                  <w:vAlign w:val="center"/>
                  <w:hideMark/>
                </w:tcPr>
                <w:p w:rsidR="007E53F3" w:rsidRDefault="007E53F3">
                  <w:pPr>
                    <w:rPr>
                      <w:rFonts w:ascii="Calibri" w:hAnsi="Calibri"/>
                      <w:sz w:val="22"/>
                      <w:szCs w:val="22"/>
                    </w:rPr>
                  </w:pPr>
                </w:p>
              </w:tc>
            </w:tr>
          </w:tbl>
          <w:p w:rsidR="007E53F3" w:rsidRDefault="007E53F3" w:rsidP="007E53F3">
            <w:pPr>
              <w:tabs>
                <w:tab w:val="center" w:pos="2268"/>
                <w:tab w:val="center" w:pos="7513"/>
              </w:tabs>
              <w:rPr>
                <w:rFonts w:ascii="Arial" w:hAnsi="Arial" w:cs="Arial"/>
                <w:color w:val="FF0000"/>
                <w:sz w:val="24"/>
                <w:szCs w:val="24"/>
              </w:rPr>
            </w:pPr>
          </w:p>
          <w:p w:rsidR="007E53F3" w:rsidRDefault="007E53F3">
            <w:pPr>
              <w:jc w:val="center"/>
              <w:rPr>
                <w:b/>
                <w:sz w:val="24"/>
                <w:u w:val="single"/>
              </w:rPr>
            </w:pPr>
          </w:p>
          <w:p w:rsidR="00B56276" w:rsidRDefault="00B56276">
            <w:pPr>
              <w:jc w:val="center"/>
              <w:rPr>
                <w:b/>
                <w:sz w:val="24"/>
                <w:u w:val="single"/>
              </w:rPr>
            </w:pPr>
          </w:p>
          <w:p w:rsidR="00B56276" w:rsidRDefault="00B56276">
            <w:pPr>
              <w:jc w:val="center"/>
              <w:rPr>
                <w:b/>
                <w:sz w:val="24"/>
                <w:u w:val="single"/>
              </w:rPr>
            </w:pPr>
          </w:p>
          <w:p w:rsidR="00B56276" w:rsidRDefault="00B56276">
            <w:pPr>
              <w:jc w:val="center"/>
              <w:rPr>
                <w:b/>
                <w:sz w:val="24"/>
                <w:u w:val="single"/>
              </w:rPr>
            </w:pPr>
          </w:p>
          <w:p w:rsidR="00B56276" w:rsidRDefault="00B56276">
            <w:pPr>
              <w:jc w:val="center"/>
              <w:rPr>
                <w:b/>
                <w:sz w:val="24"/>
                <w:u w:val="single"/>
              </w:rPr>
            </w:pPr>
          </w:p>
          <w:p w:rsidR="00B56276" w:rsidRDefault="00B56276">
            <w:pPr>
              <w:jc w:val="center"/>
              <w:rPr>
                <w:b/>
                <w:sz w:val="24"/>
                <w:u w:val="single"/>
              </w:rPr>
            </w:pPr>
          </w:p>
          <w:p w:rsidR="00B56276" w:rsidRDefault="00B5627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05ED9">
        <w:tblPrEx>
          <w:tblCellMar>
            <w:top w:w="0" w:type="dxa"/>
            <w:bottom w:w="0" w:type="dxa"/>
          </w:tblCellMar>
        </w:tblPrEx>
        <w:trPr>
          <w:cantSplit/>
          <w:trHeight w:hRule="exact" w:val="1200"/>
        </w:trPr>
        <w:tc>
          <w:tcPr>
            <w:tcW w:w="3402" w:type="dxa"/>
            <w:tcBorders>
              <w:top w:val="nil"/>
              <w:left w:val="nil"/>
              <w:bottom w:val="nil"/>
              <w:right w:val="nil"/>
            </w:tcBorders>
          </w:tcPr>
          <w:p w:rsidR="00005ED9" w:rsidRDefault="00005ED9">
            <w:pPr>
              <w:pStyle w:val="Balk1"/>
            </w:pPr>
            <w:r>
              <w:t>MECLİS BAŞKANI</w:t>
            </w:r>
          </w:p>
          <w:p w:rsidR="00005ED9" w:rsidRDefault="00005ED9">
            <w:pPr>
              <w:jc w:val="center"/>
              <w:rPr>
                <w:b/>
                <w:sz w:val="24"/>
                <w:szCs w:val="24"/>
              </w:rPr>
            </w:pPr>
            <w:r>
              <w:rPr>
                <w:b/>
                <w:sz w:val="24"/>
                <w:szCs w:val="24"/>
              </w:rPr>
              <w:t>Abdullah ÖZYİĞİT</w:t>
            </w:r>
          </w:p>
        </w:tc>
        <w:tc>
          <w:tcPr>
            <w:tcW w:w="3402" w:type="dxa"/>
            <w:tcBorders>
              <w:top w:val="nil"/>
              <w:left w:val="nil"/>
              <w:bottom w:val="nil"/>
              <w:right w:val="nil"/>
            </w:tcBorders>
          </w:tcPr>
          <w:p w:rsidR="00005ED9" w:rsidRDefault="00005ED9">
            <w:pPr>
              <w:pStyle w:val="Balk1"/>
            </w:pPr>
            <w:r>
              <w:t>KATİP</w:t>
            </w:r>
          </w:p>
          <w:p w:rsidR="00005ED9" w:rsidRDefault="00005ED9">
            <w:pPr>
              <w:jc w:val="center"/>
              <w:rPr>
                <w:b/>
                <w:sz w:val="24"/>
                <w:szCs w:val="24"/>
              </w:rPr>
            </w:pPr>
            <w:r>
              <w:rPr>
                <w:b/>
                <w:sz w:val="24"/>
                <w:szCs w:val="24"/>
              </w:rPr>
              <w:t>Sevgi UĞURLU</w:t>
            </w:r>
          </w:p>
        </w:tc>
        <w:tc>
          <w:tcPr>
            <w:tcW w:w="3402" w:type="dxa"/>
            <w:tcBorders>
              <w:top w:val="nil"/>
              <w:left w:val="nil"/>
              <w:bottom w:val="nil"/>
              <w:right w:val="nil"/>
            </w:tcBorders>
          </w:tcPr>
          <w:p w:rsidR="00005ED9" w:rsidRDefault="00005ED9">
            <w:pPr>
              <w:pStyle w:val="Balk1"/>
            </w:pPr>
            <w:r>
              <w:t>KATİP</w:t>
            </w:r>
          </w:p>
          <w:p w:rsidR="00005ED9" w:rsidRDefault="00005ED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E69D5">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BE69D5">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E69D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F5" w:rsidRDefault="004C13F5">
      <w:r>
        <w:separator/>
      </w:r>
    </w:p>
  </w:endnote>
  <w:endnote w:type="continuationSeparator" w:id="1">
    <w:p w:rsidR="004C13F5" w:rsidRDefault="004C1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F5" w:rsidRDefault="004C13F5">
      <w:r>
        <w:separator/>
      </w:r>
    </w:p>
  </w:footnote>
  <w:footnote w:type="continuationSeparator" w:id="1">
    <w:p w:rsidR="004C13F5" w:rsidRDefault="004C1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25A20">
      <w:tblPrEx>
        <w:tblCellMar>
          <w:top w:w="0" w:type="dxa"/>
          <w:bottom w:w="0" w:type="dxa"/>
        </w:tblCellMar>
      </w:tblPrEx>
      <w:tc>
        <w:tcPr>
          <w:tcW w:w="10206" w:type="dxa"/>
          <w:gridSpan w:val="3"/>
          <w:tcBorders>
            <w:top w:val="nil"/>
            <w:left w:val="nil"/>
            <w:bottom w:val="nil"/>
            <w:right w:val="nil"/>
          </w:tcBorders>
        </w:tcPr>
        <w:p w:rsidR="00A25A20" w:rsidRDefault="00A25A20">
          <w:pPr>
            <w:rPr>
              <w:b/>
              <w:sz w:val="24"/>
            </w:rPr>
          </w:pPr>
          <w:r>
            <w:rPr>
              <w:b/>
              <w:sz w:val="24"/>
            </w:rPr>
            <w:t>T.C.</w:t>
          </w:r>
        </w:p>
        <w:p w:rsidR="00A25A20" w:rsidRDefault="00A25A20">
          <w:pPr>
            <w:pStyle w:val="Balk3"/>
          </w:pPr>
          <w:r>
            <w:t>MERSİN YENİŞEHİR</w:t>
          </w:r>
        </w:p>
        <w:p w:rsidR="00A25A20" w:rsidRDefault="00A25A20">
          <w:r>
            <w:rPr>
              <w:b/>
              <w:sz w:val="24"/>
            </w:rPr>
            <w:t>BELEDİYE MECLİSİ</w:t>
          </w:r>
        </w:p>
      </w:tc>
    </w:tr>
    <w:tr w:rsidR="00A25A20">
      <w:tblPrEx>
        <w:tblCellMar>
          <w:top w:w="0" w:type="dxa"/>
          <w:bottom w:w="0" w:type="dxa"/>
        </w:tblCellMar>
      </w:tblPrEx>
      <w:trPr>
        <w:cantSplit/>
      </w:trPr>
      <w:tc>
        <w:tcPr>
          <w:tcW w:w="942" w:type="dxa"/>
          <w:tcBorders>
            <w:top w:val="nil"/>
            <w:left w:val="nil"/>
            <w:bottom w:val="nil"/>
            <w:right w:val="nil"/>
          </w:tcBorders>
        </w:tcPr>
        <w:p w:rsidR="00A25A20" w:rsidRDefault="00A25A20">
          <w:pPr>
            <w:rPr>
              <w:b/>
              <w:sz w:val="24"/>
            </w:rPr>
          </w:pPr>
        </w:p>
      </w:tc>
      <w:tc>
        <w:tcPr>
          <w:tcW w:w="4860" w:type="dxa"/>
          <w:tcBorders>
            <w:top w:val="nil"/>
            <w:left w:val="nil"/>
            <w:bottom w:val="nil"/>
            <w:right w:val="nil"/>
          </w:tcBorders>
        </w:tcPr>
        <w:p w:rsidR="00A25A20" w:rsidRDefault="00A25A20">
          <w:pPr>
            <w:pStyle w:val="Balk2"/>
            <w:jc w:val="left"/>
          </w:pPr>
        </w:p>
      </w:tc>
      <w:tc>
        <w:tcPr>
          <w:tcW w:w="4404" w:type="dxa"/>
          <w:tcBorders>
            <w:top w:val="nil"/>
            <w:left w:val="nil"/>
            <w:bottom w:val="nil"/>
            <w:right w:val="nil"/>
          </w:tcBorders>
        </w:tcPr>
        <w:p w:rsidR="00A25A20" w:rsidRDefault="00A25A20">
          <w:pPr>
            <w:pStyle w:val="Balk2"/>
            <w:rPr>
              <w:b/>
              <w:u w:val="single"/>
            </w:rPr>
          </w:pPr>
        </w:p>
      </w:tc>
    </w:tr>
    <w:tr w:rsidR="00A25A20">
      <w:tblPrEx>
        <w:tblCellMar>
          <w:top w:w="0" w:type="dxa"/>
          <w:bottom w:w="0" w:type="dxa"/>
        </w:tblCellMar>
      </w:tblPrEx>
      <w:trPr>
        <w:cantSplit/>
      </w:trPr>
      <w:tc>
        <w:tcPr>
          <w:tcW w:w="942" w:type="dxa"/>
          <w:tcBorders>
            <w:top w:val="nil"/>
            <w:left w:val="nil"/>
            <w:bottom w:val="nil"/>
            <w:right w:val="nil"/>
          </w:tcBorders>
        </w:tcPr>
        <w:p w:rsidR="00A25A20" w:rsidRDefault="00A25A20">
          <w:pPr>
            <w:rPr>
              <w:sz w:val="24"/>
            </w:rPr>
          </w:pPr>
          <w:r>
            <w:rPr>
              <w:b/>
              <w:sz w:val="24"/>
            </w:rPr>
            <w:t>SAYI :</w:t>
          </w:r>
        </w:p>
      </w:tc>
      <w:tc>
        <w:tcPr>
          <w:tcW w:w="4860" w:type="dxa"/>
          <w:tcBorders>
            <w:top w:val="nil"/>
            <w:left w:val="nil"/>
            <w:bottom w:val="nil"/>
            <w:right w:val="nil"/>
          </w:tcBorders>
        </w:tcPr>
        <w:p w:rsidR="00A25A20" w:rsidRDefault="00D16EFD">
          <w:pPr>
            <w:pStyle w:val="Balk2"/>
            <w:jc w:val="left"/>
          </w:pPr>
          <w:r>
            <w:t>188</w:t>
          </w:r>
        </w:p>
      </w:tc>
      <w:tc>
        <w:tcPr>
          <w:tcW w:w="4404" w:type="dxa"/>
          <w:tcBorders>
            <w:top w:val="nil"/>
            <w:left w:val="nil"/>
            <w:bottom w:val="nil"/>
            <w:right w:val="nil"/>
          </w:tcBorders>
        </w:tcPr>
        <w:p w:rsidR="00A25A20" w:rsidRDefault="00A25A20">
          <w:pPr>
            <w:pStyle w:val="Balk2"/>
            <w:rPr>
              <w:b/>
            </w:rPr>
          </w:pPr>
          <w:r>
            <w:rPr>
              <w:b/>
            </w:rPr>
            <w:t>MERSİN</w:t>
          </w:r>
        </w:p>
      </w:tc>
    </w:tr>
    <w:tr w:rsidR="00A25A20">
      <w:tblPrEx>
        <w:tblCellMar>
          <w:top w:w="0" w:type="dxa"/>
          <w:bottom w:w="0" w:type="dxa"/>
        </w:tblCellMar>
      </w:tblPrEx>
      <w:trPr>
        <w:cantSplit/>
      </w:trPr>
      <w:tc>
        <w:tcPr>
          <w:tcW w:w="942" w:type="dxa"/>
          <w:tcBorders>
            <w:top w:val="nil"/>
            <w:left w:val="nil"/>
            <w:bottom w:val="nil"/>
            <w:right w:val="nil"/>
          </w:tcBorders>
        </w:tcPr>
        <w:p w:rsidR="00A25A20" w:rsidRDefault="00A25A20">
          <w:pPr>
            <w:rPr>
              <w:b/>
              <w:sz w:val="24"/>
            </w:rPr>
          </w:pPr>
        </w:p>
      </w:tc>
      <w:tc>
        <w:tcPr>
          <w:tcW w:w="4860" w:type="dxa"/>
          <w:tcBorders>
            <w:top w:val="nil"/>
            <w:left w:val="nil"/>
            <w:bottom w:val="nil"/>
            <w:right w:val="nil"/>
          </w:tcBorders>
        </w:tcPr>
        <w:p w:rsidR="00A25A20" w:rsidRDefault="00A25A20">
          <w:pPr>
            <w:pStyle w:val="Balk2"/>
            <w:jc w:val="left"/>
          </w:pPr>
          <w:r>
            <w:rPr>
              <w:rFonts w:ascii="Arial" w:hAnsi="Arial" w:cs="Arial"/>
              <w:szCs w:val="24"/>
            </w:rPr>
            <w:t>UİP-33230543</w:t>
          </w:r>
        </w:p>
      </w:tc>
      <w:tc>
        <w:tcPr>
          <w:tcW w:w="4404" w:type="dxa"/>
          <w:tcBorders>
            <w:top w:val="nil"/>
            <w:left w:val="nil"/>
            <w:bottom w:val="nil"/>
            <w:right w:val="nil"/>
          </w:tcBorders>
        </w:tcPr>
        <w:p w:rsidR="00A25A20" w:rsidRDefault="00D16EFD">
          <w:pPr>
            <w:pStyle w:val="Balk2"/>
            <w:rPr>
              <w:b/>
            </w:rPr>
          </w:pPr>
          <w:r>
            <w:rPr>
              <w:b/>
            </w:rPr>
            <w:t>06/11/2023</w:t>
          </w:r>
        </w:p>
      </w:tc>
    </w:tr>
  </w:tbl>
  <w:p w:rsidR="00A25A20" w:rsidRDefault="00A25A2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5ED9"/>
    <w:rsid w:val="00027B6F"/>
    <w:rsid w:val="0006773D"/>
    <w:rsid w:val="000E5BAB"/>
    <w:rsid w:val="001A3458"/>
    <w:rsid w:val="002416D3"/>
    <w:rsid w:val="00481B3D"/>
    <w:rsid w:val="004C13F5"/>
    <w:rsid w:val="00510052"/>
    <w:rsid w:val="00534478"/>
    <w:rsid w:val="005679F1"/>
    <w:rsid w:val="00575CE8"/>
    <w:rsid w:val="00582142"/>
    <w:rsid w:val="005A3003"/>
    <w:rsid w:val="007E53F3"/>
    <w:rsid w:val="007F30DA"/>
    <w:rsid w:val="008254E6"/>
    <w:rsid w:val="008517C2"/>
    <w:rsid w:val="009B6A26"/>
    <w:rsid w:val="00A25A20"/>
    <w:rsid w:val="00A80563"/>
    <w:rsid w:val="00B424A4"/>
    <w:rsid w:val="00B56276"/>
    <w:rsid w:val="00BE69D5"/>
    <w:rsid w:val="00C63B2B"/>
    <w:rsid w:val="00C76D90"/>
    <w:rsid w:val="00D16EFD"/>
    <w:rsid w:val="00D43AE7"/>
    <w:rsid w:val="00D7043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05ED9"/>
    <w:rPr>
      <w:b/>
      <w:sz w:val="24"/>
    </w:rPr>
  </w:style>
</w:styles>
</file>

<file path=word/webSettings.xml><?xml version="1.0" encoding="utf-8"?>
<w:webSettings xmlns:r="http://schemas.openxmlformats.org/officeDocument/2006/relationships" xmlns:w="http://schemas.openxmlformats.org/wordprocessingml/2006/main">
  <w:divs>
    <w:div w:id="11588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yazi_meclis_296_2023-11-07_15-00_405971</Template>
  <TotalTime>0</TotalTime>
  <Pages>7</Pages>
  <Words>1504</Words>
  <Characters>10060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2023-11-08T11:20:00Z</cp:lastPrinted>
  <dcterms:created xsi:type="dcterms:W3CDTF">2023-11-10T13:53:00Z</dcterms:created>
  <dcterms:modified xsi:type="dcterms:W3CDTF">2023-11-10T13:53:00Z</dcterms:modified>
</cp:coreProperties>
</file>