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514EE1">
        <w:rPr>
          <w:rFonts w:ascii="Arial" w:hAnsi="Arial" w:cs="Arial"/>
          <w:sz w:val="24"/>
          <w:szCs w:val="24"/>
        </w:rPr>
        <w:t>6</w:t>
      </w:r>
      <w:r w:rsidR="00AD25EB">
        <w:rPr>
          <w:rFonts w:ascii="Arial" w:hAnsi="Arial" w:cs="Arial"/>
          <w:sz w:val="24"/>
          <w:szCs w:val="24"/>
        </w:rPr>
        <w:t>.0</w:t>
      </w:r>
      <w:r w:rsidR="000148B2">
        <w:rPr>
          <w:rFonts w:ascii="Arial" w:hAnsi="Arial" w:cs="Arial"/>
          <w:sz w:val="24"/>
          <w:szCs w:val="24"/>
        </w:rPr>
        <w:t>5</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0148B2"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148B2" w:rsidRPr="000148B2">
        <w:rPr>
          <w:rFonts w:ascii="Arial" w:hAnsi="Arial" w:cs="Arial"/>
          <w:sz w:val="24"/>
          <w:szCs w:val="24"/>
        </w:rPr>
        <w:t>10</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0148B2">
        <w:rPr>
          <w:rFonts w:ascii="Arial" w:hAnsi="Arial" w:cs="Arial"/>
          <w:sz w:val="24"/>
          <w:szCs w:val="24"/>
        </w:rPr>
        <w:t>6</w:t>
      </w:r>
      <w:r w:rsidR="0004653B">
        <w:rPr>
          <w:rFonts w:ascii="Arial" w:hAnsi="Arial" w:cs="Arial"/>
          <w:sz w:val="24"/>
          <w:szCs w:val="24"/>
        </w:rPr>
        <w:t>.0</w:t>
      </w:r>
      <w:r w:rsidR="000148B2">
        <w:rPr>
          <w:rFonts w:ascii="Arial" w:hAnsi="Arial" w:cs="Arial"/>
          <w:sz w:val="24"/>
          <w:szCs w:val="24"/>
        </w:rPr>
        <w:t>4</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0148B2">
        <w:rPr>
          <w:rFonts w:ascii="Arial" w:hAnsi="Arial" w:cs="Arial"/>
          <w:sz w:val="24"/>
          <w:szCs w:val="24"/>
        </w:rPr>
        <w:t>67</w:t>
      </w:r>
    </w:p>
    <w:p w:rsidR="00B842A6" w:rsidRDefault="00CE500D" w:rsidP="00B842A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2E2776">
        <w:rPr>
          <w:rFonts w:ascii="Arial" w:hAnsi="Arial" w:cs="Arial"/>
        </w:rPr>
        <w:t>Plan ve Bütçe Komisyonu</w:t>
      </w:r>
      <w:r w:rsidRPr="00DB74B8">
        <w:rPr>
          <w:sz w:val="24"/>
          <w:szCs w:val="24"/>
        </w:rPr>
        <w:t>,</w:t>
      </w:r>
      <w:r w:rsidR="002E2776">
        <w:rPr>
          <w:sz w:val="24"/>
          <w:szCs w:val="24"/>
        </w:rPr>
        <w:t xml:space="preserve"> </w:t>
      </w:r>
      <w:r w:rsidR="00B842A6">
        <w:rPr>
          <w:sz w:val="24"/>
          <w:szCs w:val="24"/>
        </w:rPr>
        <w:t>Kültür Sanat ve Tur</w:t>
      </w:r>
      <w:r w:rsidR="00C50BC9">
        <w:rPr>
          <w:sz w:val="24"/>
          <w:szCs w:val="24"/>
        </w:rPr>
        <w:t>iz</w:t>
      </w:r>
      <w:r w:rsidR="00B842A6">
        <w:rPr>
          <w:sz w:val="24"/>
          <w:szCs w:val="24"/>
        </w:rPr>
        <w:t xml:space="preserve">m </w:t>
      </w:r>
      <w:r w:rsidR="00B842A6">
        <w:rPr>
          <w:sz w:val="24"/>
          <w:szCs w:val="24"/>
        </w:rPr>
        <w:tab/>
      </w:r>
      <w:r w:rsidR="00B842A6">
        <w:rPr>
          <w:sz w:val="24"/>
          <w:szCs w:val="24"/>
        </w:rPr>
        <w:tab/>
      </w:r>
      <w:r w:rsidR="00B842A6">
        <w:rPr>
          <w:sz w:val="24"/>
          <w:szCs w:val="24"/>
        </w:rPr>
        <w:tab/>
        <w:t>Komisyonu</w:t>
      </w:r>
      <w:r>
        <w:rPr>
          <w:rFonts w:ascii="Arial" w:hAnsi="Arial" w:cs="Arial"/>
        </w:rPr>
        <w:tab/>
      </w:r>
    </w:p>
    <w:p w:rsidR="00B842A6" w:rsidRDefault="00B842A6" w:rsidP="00B842A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sidR="000148B2">
        <w:rPr>
          <w:rFonts w:ascii="Arial" w:hAnsi="Arial" w:cs="Arial"/>
        </w:rPr>
        <w:t xml:space="preserve">Doğan DÖLDÖŞ (Kom. Başk), </w:t>
      </w:r>
      <w:r w:rsidR="000148B2">
        <w:rPr>
          <w:rFonts w:ascii="Arial" w:hAnsi="Arial" w:cs="Arial"/>
        </w:rPr>
        <w:tab/>
      </w:r>
      <w:r w:rsidR="000148B2">
        <w:rPr>
          <w:rFonts w:ascii="Arial" w:hAnsi="Arial" w:cs="Arial"/>
        </w:rPr>
        <w:tab/>
        <w:t xml:space="preserve">Cevdet YILMAZ (Kom.Başk. V.), Abuzer DÖNDAŞ, Zerife </w:t>
      </w:r>
      <w:r w:rsidR="000148B2">
        <w:rPr>
          <w:rFonts w:ascii="Arial" w:hAnsi="Arial" w:cs="Arial"/>
        </w:rPr>
        <w:tab/>
      </w:r>
      <w:r w:rsidR="000148B2">
        <w:rPr>
          <w:rFonts w:ascii="Arial" w:hAnsi="Arial" w:cs="Arial"/>
        </w:rPr>
        <w:tab/>
        <w:t>GENÇ, Abbas ÖZDİKER</w:t>
      </w:r>
    </w:p>
    <w:p w:rsidR="007426D3" w:rsidRPr="000148B2" w:rsidRDefault="00B842A6" w:rsidP="00B842A6">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Kültür Sanat ve Turizm Komisyonu:</w:t>
      </w:r>
      <w:r w:rsidR="000148B2">
        <w:rPr>
          <w:rFonts w:ascii="Arial" w:hAnsi="Arial" w:cs="Arial"/>
        </w:rPr>
        <w:t xml:space="preserve">Zerife GENÇ (Kom. </w:t>
      </w:r>
      <w:r w:rsidR="000148B2">
        <w:rPr>
          <w:rFonts w:ascii="Arial" w:hAnsi="Arial" w:cs="Arial"/>
        </w:rPr>
        <w:tab/>
      </w:r>
      <w:r w:rsidR="000148B2">
        <w:rPr>
          <w:rFonts w:ascii="Arial" w:hAnsi="Arial" w:cs="Arial"/>
        </w:rPr>
        <w:tab/>
        <w:t xml:space="preserve">Başk.), Ali Özgen ERKOÇ (Kom. Başk. V.), Sevgi UĞURLU, </w:t>
      </w:r>
      <w:r w:rsidR="000148B2">
        <w:rPr>
          <w:rFonts w:ascii="Arial" w:hAnsi="Arial" w:cs="Arial"/>
        </w:rPr>
        <w:tab/>
      </w:r>
      <w:r w:rsidR="000148B2">
        <w:rPr>
          <w:rFonts w:ascii="Arial" w:hAnsi="Arial" w:cs="Arial"/>
        </w:rPr>
        <w:tab/>
        <w:t>Ersin NAS, Selim Raci DİBO</w:t>
      </w:r>
    </w:p>
    <w:p w:rsidR="00692CB8" w:rsidRDefault="00100236" w:rsidP="00692CB8">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DE114E">
        <w:rPr>
          <w:sz w:val="24"/>
          <w:szCs w:val="24"/>
        </w:rPr>
        <w:t>19</w:t>
      </w:r>
      <w:r w:rsidR="0004653B">
        <w:rPr>
          <w:sz w:val="24"/>
          <w:szCs w:val="24"/>
        </w:rPr>
        <w:t>.0</w:t>
      </w:r>
      <w:r w:rsidR="00DE114E">
        <w:rPr>
          <w:sz w:val="24"/>
          <w:szCs w:val="24"/>
        </w:rPr>
        <w:t>4</w:t>
      </w:r>
      <w:r>
        <w:rPr>
          <w:sz w:val="24"/>
          <w:szCs w:val="24"/>
        </w:rPr>
        <w:t>.</w:t>
      </w:r>
      <w:r w:rsidRPr="00B0181B">
        <w:rPr>
          <w:sz w:val="24"/>
          <w:szCs w:val="24"/>
        </w:rPr>
        <w:t>202</w:t>
      </w:r>
      <w:r w:rsidR="0004653B">
        <w:rPr>
          <w:sz w:val="24"/>
          <w:szCs w:val="24"/>
        </w:rPr>
        <w:t>4</w:t>
      </w:r>
    </w:p>
    <w:p w:rsidR="00DE114E" w:rsidRPr="00DE114E" w:rsidRDefault="00100236" w:rsidP="00DE114E">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DE114E" w:rsidRPr="00DE114E">
        <w:rPr>
          <w:rFonts w:ascii="Arial" w:hAnsi="Arial" w:cs="Arial"/>
          <w:sz w:val="24"/>
          <w:szCs w:val="24"/>
        </w:rPr>
        <w:t>Akdeniz Opera ve Bale Kulubü Derneğinin (AKOP) 16.01.2024 tarih ve 2258 sayılı yazısında;  7. AKOB Ulusal Oda Müziği Yarışması, "100.Yılımız" şerefine yeni eklenen Genel Kategori ve Genç Türk Bestecisi-Eseri Kategorisi olarak yapılacağı ve Eğitim/ öğretim takvimlerine uyarak 7. AKOB Ulusal Oda Müziği Yarışmasının 2024 yılı Haziran ayında gerçekleştirmek istediklerini belirtmişler ve  ülkemizin çeşitli konservatuarlarından, oda müziği toplulukları ile genç sanatçı adaylarının katılacağını belirterek söz konusu yarışmaya Belediyemizin de destek vermesi ile ilgili teklif Belediye Meclisinin 06.04.2024 tarih ve 67 sayılı ara kararı ile Plan ve Bütçe Komisyonu ile Kültür Sanat ve Turizm Komisyonuna ortak havale edilmiştir.</w:t>
      </w:r>
    </w:p>
    <w:p w:rsidR="00692CB8" w:rsidRPr="00692CB8" w:rsidRDefault="00DE114E" w:rsidP="00DE114E">
      <w:pPr>
        <w:tabs>
          <w:tab w:val="left" w:pos="3402"/>
          <w:tab w:val="left" w:pos="3686"/>
        </w:tabs>
        <w:spacing w:after="120" w:line="240" w:lineRule="auto"/>
        <w:jc w:val="both"/>
        <w:rPr>
          <w:rFonts w:ascii="Arial" w:hAnsi="Arial" w:cs="Arial"/>
          <w:sz w:val="24"/>
          <w:szCs w:val="24"/>
        </w:rPr>
      </w:pPr>
      <w:r w:rsidRPr="00DE114E">
        <w:rPr>
          <w:rFonts w:ascii="Arial" w:hAnsi="Arial" w:cs="Arial"/>
          <w:sz w:val="24"/>
          <w:szCs w:val="24"/>
        </w:rPr>
        <w:t xml:space="preserve">Teklifin incelenmesi ve değerlendirilmesi sonucunda; Mersinin kültür ve sanat yaşamında  çocuk ve gençleri odağına alan  etkin, sürdürülebilir proje ve çalışmalarla yer almakta ve Cumhuriyetimizin “100.Yılı" şerefine yapılacak olan 7. AKOB Ulusal Oda Müziği Yarışması etkinliğinin organizasyon giderleri için Akdeniz Opera ve Bale Kulübü Derneği'ne KDV hariç 80.000,00-TL(seksenbin) maddi destek sağlamasına ve etkinliğin gerçekleşeceği salonun ücretsiz tahsis edilmesinin kabulüne komisyonlarımızca oy birliği ile karar verildi. </w:t>
      </w:r>
    </w:p>
    <w:p w:rsidR="002E2776" w:rsidRDefault="002E2776" w:rsidP="00692CB8">
      <w:pPr>
        <w:tabs>
          <w:tab w:val="left" w:pos="3402"/>
          <w:tab w:val="left" w:pos="3686"/>
        </w:tabs>
        <w:spacing w:after="120" w:line="240" w:lineRule="auto"/>
        <w:jc w:val="both"/>
        <w:rPr>
          <w:rFonts w:ascii="Arial" w:hAnsi="Arial" w:cs="Arial"/>
          <w:b/>
          <w:sz w:val="24"/>
          <w:szCs w:val="24"/>
        </w:rPr>
      </w:pPr>
    </w:p>
    <w:p w:rsidR="002E2776" w:rsidRDefault="002E2776" w:rsidP="002E2776">
      <w:pPr>
        <w:tabs>
          <w:tab w:val="left" w:pos="3402"/>
          <w:tab w:val="left" w:pos="3686"/>
        </w:tabs>
        <w:spacing w:after="120" w:line="240" w:lineRule="auto"/>
        <w:jc w:val="both"/>
        <w:rPr>
          <w:rFonts w:ascii="Arial" w:hAnsi="Arial" w:cs="Arial"/>
          <w:b/>
          <w:sz w:val="24"/>
          <w:szCs w:val="24"/>
        </w:rPr>
      </w:pPr>
    </w:p>
    <w:p w:rsidR="00692CB8" w:rsidRDefault="00692CB8" w:rsidP="002E2776">
      <w:pPr>
        <w:tabs>
          <w:tab w:val="left" w:pos="3402"/>
          <w:tab w:val="left" w:pos="3686"/>
        </w:tabs>
        <w:spacing w:after="120" w:line="240" w:lineRule="auto"/>
        <w:jc w:val="both"/>
        <w:rPr>
          <w:rFonts w:ascii="Arial" w:hAnsi="Arial" w:cs="Arial"/>
          <w:b/>
          <w:sz w:val="24"/>
          <w:szCs w:val="24"/>
        </w:rPr>
      </w:pPr>
    </w:p>
    <w:p w:rsidR="000148B2" w:rsidRDefault="000148B2" w:rsidP="002E2776">
      <w:pPr>
        <w:tabs>
          <w:tab w:val="left" w:pos="3402"/>
          <w:tab w:val="left" w:pos="3686"/>
        </w:tabs>
        <w:spacing w:after="120" w:line="240" w:lineRule="auto"/>
        <w:jc w:val="both"/>
        <w:rPr>
          <w:rFonts w:ascii="Arial" w:hAnsi="Arial" w:cs="Arial"/>
          <w:b/>
          <w:sz w:val="24"/>
          <w:szCs w:val="24"/>
        </w:rPr>
      </w:pPr>
    </w:p>
    <w:p w:rsidR="00C50BC9" w:rsidRDefault="00C50BC9" w:rsidP="002E2776">
      <w:pPr>
        <w:tabs>
          <w:tab w:val="left" w:pos="3402"/>
          <w:tab w:val="left" w:pos="3686"/>
        </w:tabs>
        <w:spacing w:after="120" w:line="240" w:lineRule="auto"/>
        <w:jc w:val="both"/>
        <w:rPr>
          <w:rFonts w:ascii="Arial" w:hAnsi="Arial" w:cs="Arial"/>
          <w:b/>
          <w:sz w:val="24"/>
          <w:szCs w:val="24"/>
        </w:rPr>
      </w:pPr>
    </w:p>
    <w:p w:rsidR="00C50BC9" w:rsidRDefault="00C50BC9" w:rsidP="002E2776">
      <w:pPr>
        <w:tabs>
          <w:tab w:val="left" w:pos="3402"/>
          <w:tab w:val="left" w:pos="3686"/>
        </w:tabs>
        <w:spacing w:after="120" w:line="240" w:lineRule="auto"/>
        <w:jc w:val="both"/>
        <w:rPr>
          <w:rFonts w:ascii="Arial" w:hAnsi="Arial" w:cs="Arial"/>
          <w:b/>
          <w:sz w:val="24"/>
          <w:szCs w:val="24"/>
        </w:rPr>
      </w:pPr>
    </w:p>
    <w:p w:rsidR="00C50BC9" w:rsidRDefault="00C50BC9" w:rsidP="002E2776">
      <w:pPr>
        <w:tabs>
          <w:tab w:val="left" w:pos="3402"/>
          <w:tab w:val="left" w:pos="3686"/>
        </w:tabs>
        <w:spacing w:after="120" w:line="240" w:lineRule="auto"/>
        <w:jc w:val="both"/>
        <w:rPr>
          <w:rFonts w:ascii="Arial" w:hAnsi="Arial" w:cs="Arial"/>
          <w:b/>
          <w:sz w:val="24"/>
          <w:szCs w:val="24"/>
        </w:rPr>
      </w:pPr>
    </w:p>
    <w:p w:rsidR="000148B2" w:rsidRDefault="000148B2" w:rsidP="002E2776">
      <w:pPr>
        <w:tabs>
          <w:tab w:val="left" w:pos="3402"/>
          <w:tab w:val="left" w:pos="3686"/>
        </w:tabs>
        <w:spacing w:after="120" w:line="240" w:lineRule="auto"/>
        <w:jc w:val="both"/>
        <w:rPr>
          <w:rFonts w:ascii="Arial" w:hAnsi="Arial" w:cs="Arial"/>
          <w:b/>
          <w:sz w:val="24"/>
          <w:szCs w:val="24"/>
        </w:rPr>
      </w:pPr>
    </w:p>
    <w:p w:rsidR="000148B2" w:rsidRDefault="000148B2" w:rsidP="002E2776">
      <w:pPr>
        <w:tabs>
          <w:tab w:val="left" w:pos="3402"/>
          <w:tab w:val="left" w:pos="3686"/>
        </w:tabs>
        <w:spacing w:after="120" w:line="240" w:lineRule="auto"/>
        <w:jc w:val="both"/>
        <w:rPr>
          <w:rFonts w:ascii="Arial" w:hAnsi="Arial" w:cs="Arial"/>
          <w:b/>
          <w:sz w:val="24"/>
          <w:szCs w:val="24"/>
        </w:rPr>
      </w:pPr>
    </w:p>
    <w:p w:rsidR="00C50BC9" w:rsidRDefault="00C50BC9" w:rsidP="00C50BC9">
      <w:pPr>
        <w:tabs>
          <w:tab w:val="left" w:pos="3402"/>
          <w:tab w:val="left" w:pos="3686"/>
        </w:tabs>
        <w:spacing w:after="120" w:line="240" w:lineRule="auto"/>
        <w:jc w:val="both"/>
        <w:rPr>
          <w:rFonts w:ascii="Arial" w:hAnsi="Arial" w:cs="Arial"/>
          <w:b/>
          <w:sz w:val="24"/>
          <w:szCs w:val="24"/>
        </w:rPr>
      </w:pPr>
    </w:p>
    <w:p w:rsidR="00C50BC9" w:rsidRPr="0064171D" w:rsidRDefault="00C50BC9" w:rsidP="00C50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64171D" w:rsidRPr="0064171D">
        <w:rPr>
          <w:rFonts w:ascii="Arial" w:hAnsi="Arial" w:cs="Arial"/>
          <w:sz w:val="24"/>
          <w:szCs w:val="24"/>
        </w:rPr>
        <w:t>2</w:t>
      </w:r>
    </w:p>
    <w:p w:rsidR="00C50BC9" w:rsidRPr="00A346A6" w:rsidRDefault="00C50BC9" w:rsidP="00C50BC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06.05.</w:t>
      </w:r>
      <w:r w:rsidRPr="00A346A6">
        <w:rPr>
          <w:rFonts w:ascii="Arial" w:hAnsi="Arial" w:cs="Arial"/>
          <w:sz w:val="24"/>
          <w:szCs w:val="24"/>
        </w:rPr>
        <w:t>202</w:t>
      </w:r>
      <w:r>
        <w:rPr>
          <w:rFonts w:ascii="Arial" w:hAnsi="Arial" w:cs="Arial"/>
          <w:sz w:val="24"/>
          <w:szCs w:val="24"/>
        </w:rPr>
        <w:t>4</w:t>
      </w:r>
    </w:p>
    <w:p w:rsidR="00C50BC9" w:rsidRPr="000148B2" w:rsidRDefault="00C50BC9" w:rsidP="00C50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0148B2">
        <w:rPr>
          <w:rFonts w:ascii="Arial" w:hAnsi="Arial" w:cs="Arial"/>
          <w:sz w:val="24"/>
          <w:szCs w:val="24"/>
        </w:rPr>
        <w:t>1</w:t>
      </w:r>
      <w:r>
        <w:rPr>
          <w:rFonts w:ascii="Arial" w:hAnsi="Arial" w:cs="Arial"/>
          <w:sz w:val="24"/>
          <w:szCs w:val="24"/>
        </w:rPr>
        <w:t>1</w:t>
      </w:r>
    </w:p>
    <w:p w:rsidR="00C50BC9" w:rsidRPr="00A346A6" w:rsidRDefault="00C50BC9" w:rsidP="00C50BC9">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06.04.</w:t>
      </w:r>
      <w:r w:rsidRPr="00A346A6">
        <w:rPr>
          <w:rFonts w:ascii="Arial" w:hAnsi="Arial" w:cs="Arial"/>
          <w:sz w:val="24"/>
          <w:szCs w:val="24"/>
        </w:rPr>
        <w:t>202</w:t>
      </w:r>
      <w:r>
        <w:rPr>
          <w:rFonts w:ascii="Arial" w:hAnsi="Arial" w:cs="Arial"/>
          <w:sz w:val="24"/>
          <w:szCs w:val="24"/>
        </w:rPr>
        <w:t>4</w:t>
      </w:r>
    </w:p>
    <w:p w:rsidR="00C50BC9" w:rsidRPr="00692CB8" w:rsidRDefault="00C50BC9" w:rsidP="00C50BC9">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70</w:t>
      </w:r>
    </w:p>
    <w:p w:rsidR="00C50BC9" w:rsidRDefault="00C50BC9" w:rsidP="00C50BC9">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10179A">
        <w:rPr>
          <w:rFonts w:ascii="Arial" w:hAnsi="Arial" w:cs="Arial"/>
        </w:rPr>
        <w:t>İmar</w:t>
      </w:r>
      <w:r>
        <w:rPr>
          <w:rFonts w:ascii="Arial" w:hAnsi="Arial" w:cs="Arial"/>
        </w:rPr>
        <w:t xml:space="preserve"> Komisyonu</w:t>
      </w:r>
      <w:r w:rsidRPr="00DB74B8">
        <w:rPr>
          <w:sz w:val="24"/>
          <w:szCs w:val="24"/>
        </w:rPr>
        <w:t>,</w:t>
      </w:r>
      <w:r>
        <w:rPr>
          <w:sz w:val="24"/>
          <w:szCs w:val="24"/>
        </w:rPr>
        <w:t xml:space="preserve"> </w:t>
      </w:r>
      <w:r w:rsidR="0010179A">
        <w:rPr>
          <w:sz w:val="24"/>
          <w:szCs w:val="24"/>
        </w:rPr>
        <w:t xml:space="preserve">Enerji ve Ekoloji Komisyonu, Hukuk ve </w:t>
      </w:r>
      <w:r w:rsidR="0010179A">
        <w:rPr>
          <w:sz w:val="24"/>
          <w:szCs w:val="24"/>
        </w:rPr>
        <w:tab/>
      </w:r>
      <w:r w:rsidR="0010179A">
        <w:rPr>
          <w:sz w:val="24"/>
          <w:szCs w:val="24"/>
        </w:rPr>
        <w:tab/>
      </w:r>
      <w:r w:rsidR="0010179A">
        <w:rPr>
          <w:sz w:val="24"/>
          <w:szCs w:val="24"/>
        </w:rPr>
        <w:tab/>
        <w:t>Temel Haklar K</w:t>
      </w:r>
      <w:r>
        <w:rPr>
          <w:sz w:val="24"/>
          <w:szCs w:val="24"/>
        </w:rPr>
        <w:t>omisyonu</w:t>
      </w:r>
      <w:r>
        <w:rPr>
          <w:rFonts w:ascii="Arial" w:hAnsi="Arial" w:cs="Arial"/>
        </w:rPr>
        <w:tab/>
      </w:r>
    </w:p>
    <w:p w:rsidR="00C50BC9" w:rsidRDefault="00C50BC9" w:rsidP="00C50BC9">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sidR="0015558A">
        <w:rPr>
          <w:rFonts w:ascii="Arial" w:hAnsi="Arial" w:cs="Arial"/>
          <w:b/>
        </w:rPr>
        <w:t>İmar</w:t>
      </w:r>
      <w:r>
        <w:rPr>
          <w:rFonts w:ascii="Arial" w:hAnsi="Arial" w:cs="Arial"/>
          <w:b/>
        </w:rPr>
        <w:t xml:space="preserve"> Komisyonu: </w:t>
      </w:r>
      <w:r w:rsidR="0015558A">
        <w:rPr>
          <w:rFonts w:ascii="Arial" w:hAnsi="Arial" w:cs="Arial"/>
        </w:rPr>
        <w:t>Musa Taş</w:t>
      </w:r>
      <w:r>
        <w:rPr>
          <w:rFonts w:ascii="Arial" w:hAnsi="Arial" w:cs="Arial"/>
        </w:rPr>
        <w:t xml:space="preserve"> (Kom. Başk), </w:t>
      </w:r>
      <w:r>
        <w:rPr>
          <w:rFonts w:ascii="Arial" w:hAnsi="Arial" w:cs="Arial"/>
        </w:rPr>
        <w:tab/>
      </w:r>
      <w:r>
        <w:rPr>
          <w:rFonts w:ascii="Arial" w:hAnsi="Arial" w:cs="Arial"/>
        </w:rPr>
        <w:tab/>
      </w:r>
      <w:r w:rsidR="0015558A">
        <w:rPr>
          <w:rFonts w:ascii="Arial" w:hAnsi="Arial" w:cs="Arial"/>
        </w:rPr>
        <w:tab/>
      </w:r>
      <w:r w:rsidR="0015558A">
        <w:rPr>
          <w:rFonts w:ascii="Arial" w:hAnsi="Arial" w:cs="Arial"/>
        </w:rPr>
        <w:tab/>
        <w:t>Çağdaş DUTLU</w:t>
      </w:r>
      <w:r>
        <w:rPr>
          <w:rFonts w:ascii="Arial" w:hAnsi="Arial" w:cs="Arial"/>
        </w:rPr>
        <w:t xml:space="preserve"> (Kom.Başk. V.), </w:t>
      </w:r>
      <w:r w:rsidR="0015558A">
        <w:rPr>
          <w:rFonts w:ascii="Arial" w:hAnsi="Arial" w:cs="Arial"/>
        </w:rPr>
        <w:t xml:space="preserve">Devrim ÖZDEMİR, İbrahim </w:t>
      </w:r>
      <w:r w:rsidR="0015558A">
        <w:rPr>
          <w:rFonts w:ascii="Arial" w:hAnsi="Arial" w:cs="Arial"/>
        </w:rPr>
        <w:tab/>
      </w:r>
      <w:r w:rsidR="0015558A">
        <w:rPr>
          <w:rFonts w:ascii="Arial" w:hAnsi="Arial" w:cs="Arial"/>
        </w:rPr>
        <w:tab/>
        <w:t>CİNBAŞ, Mehmet YAHLİZADE</w:t>
      </w:r>
    </w:p>
    <w:p w:rsidR="00C50BC9" w:rsidRDefault="00C50BC9" w:rsidP="00C50BC9">
      <w:pPr>
        <w:tabs>
          <w:tab w:val="left" w:pos="3402"/>
          <w:tab w:val="left" w:pos="3686"/>
        </w:tabs>
        <w:spacing w:after="120" w:line="240" w:lineRule="auto"/>
        <w:jc w:val="both"/>
        <w:rPr>
          <w:rFonts w:ascii="Arial" w:hAnsi="Arial" w:cs="Arial"/>
        </w:rPr>
      </w:pPr>
      <w:r>
        <w:rPr>
          <w:b/>
          <w:sz w:val="24"/>
          <w:szCs w:val="24"/>
        </w:rPr>
        <w:tab/>
        <w:t xml:space="preserve">     </w:t>
      </w:r>
      <w:r w:rsidR="0015558A">
        <w:rPr>
          <w:rFonts w:ascii="Arial" w:hAnsi="Arial" w:cs="Arial"/>
          <w:b/>
        </w:rPr>
        <w:t>Enerji ve Ekoloji</w:t>
      </w:r>
      <w:r>
        <w:rPr>
          <w:rFonts w:ascii="Arial" w:hAnsi="Arial" w:cs="Arial"/>
          <w:b/>
        </w:rPr>
        <w:t xml:space="preserve"> Komisyonu:</w:t>
      </w:r>
      <w:r w:rsidR="0015558A">
        <w:rPr>
          <w:rFonts w:ascii="Arial" w:hAnsi="Arial" w:cs="Arial"/>
        </w:rPr>
        <w:t>Kamer GÜLBEYAZ</w:t>
      </w:r>
      <w:r>
        <w:rPr>
          <w:rFonts w:ascii="Arial" w:hAnsi="Arial" w:cs="Arial"/>
        </w:rPr>
        <w:t xml:space="preserve"> (Kom. </w:t>
      </w:r>
      <w:r>
        <w:rPr>
          <w:rFonts w:ascii="Arial" w:hAnsi="Arial" w:cs="Arial"/>
        </w:rPr>
        <w:tab/>
      </w:r>
      <w:r>
        <w:rPr>
          <w:rFonts w:ascii="Arial" w:hAnsi="Arial" w:cs="Arial"/>
        </w:rPr>
        <w:tab/>
        <w:t xml:space="preserve">Başk.), </w:t>
      </w:r>
      <w:r w:rsidR="0015558A">
        <w:rPr>
          <w:rFonts w:ascii="Arial" w:hAnsi="Arial" w:cs="Arial"/>
        </w:rPr>
        <w:t>Sevil YEŞİL</w:t>
      </w:r>
      <w:r>
        <w:rPr>
          <w:rFonts w:ascii="Arial" w:hAnsi="Arial" w:cs="Arial"/>
        </w:rPr>
        <w:t xml:space="preserve"> (Kom. Başk. V.), </w:t>
      </w:r>
      <w:r w:rsidR="0015558A">
        <w:rPr>
          <w:rFonts w:ascii="Arial" w:hAnsi="Arial" w:cs="Arial"/>
        </w:rPr>
        <w:t xml:space="preserve">Şener AKDENİZ, </w:t>
      </w:r>
      <w:r w:rsidR="0015558A">
        <w:rPr>
          <w:rFonts w:ascii="Arial" w:hAnsi="Arial" w:cs="Arial"/>
        </w:rPr>
        <w:tab/>
      </w:r>
      <w:r w:rsidR="0015558A">
        <w:rPr>
          <w:rFonts w:ascii="Arial" w:hAnsi="Arial" w:cs="Arial"/>
        </w:rPr>
        <w:tab/>
      </w:r>
      <w:r w:rsidR="0015558A">
        <w:rPr>
          <w:rFonts w:ascii="Arial" w:hAnsi="Arial" w:cs="Arial"/>
        </w:rPr>
        <w:tab/>
        <w:t>Fatmagül DEMİRTAĞ, Selim Raci DİBO</w:t>
      </w:r>
    </w:p>
    <w:p w:rsidR="0015558A" w:rsidRPr="0015558A" w:rsidRDefault="0015558A" w:rsidP="00C50BC9">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15558A">
        <w:rPr>
          <w:rFonts w:ascii="Arial" w:hAnsi="Arial" w:cs="Arial"/>
          <w:b/>
        </w:rPr>
        <w:t xml:space="preserve">Hukuk ve Temel Haklar Komisyonu: </w:t>
      </w:r>
      <w:r>
        <w:rPr>
          <w:rFonts w:ascii="Arial" w:hAnsi="Arial" w:cs="Arial"/>
          <w:b/>
        </w:rPr>
        <w:t xml:space="preserve"> </w:t>
      </w:r>
      <w:r w:rsidRPr="0015558A">
        <w:rPr>
          <w:rFonts w:ascii="Arial" w:hAnsi="Arial" w:cs="Arial"/>
        </w:rPr>
        <w:t xml:space="preserve">İbrahim CİNBAŞ </w:t>
      </w:r>
      <w:r>
        <w:rPr>
          <w:rFonts w:ascii="Arial" w:hAnsi="Arial" w:cs="Arial"/>
        </w:rPr>
        <w:tab/>
      </w:r>
      <w:r>
        <w:rPr>
          <w:rFonts w:ascii="Arial" w:hAnsi="Arial" w:cs="Arial"/>
        </w:rPr>
        <w:tab/>
      </w:r>
      <w:r w:rsidRPr="0015558A">
        <w:rPr>
          <w:rFonts w:ascii="Arial" w:hAnsi="Arial" w:cs="Arial"/>
        </w:rPr>
        <w:t xml:space="preserve">(Kom. Başk), Nazlı Hilbin DOĞAN (Kom. Başk. V.), Cevdet </w:t>
      </w:r>
      <w:r>
        <w:rPr>
          <w:rFonts w:ascii="Arial" w:hAnsi="Arial" w:cs="Arial"/>
        </w:rPr>
        <w:tab/>
      </w:r>
      <w:r>
        <w:rPr>
          <w:rFonts w:ascii="Arial" w:hAnsi="Arial" w:cs="Arial"/>
        </w:rPr>
        <w:tab/>
      </w:r>
      <w:r w:rsidRPr="0015558A">
        <w:rPr>
          <w:rFonts w:ascii="Arial" w:hAnsi="Arial" w:cs="Arial"/>
        </w:rPr>
        <w:t>YILMAZ, Umut AKYÜZ, Selim Raci DİBO</w:t>
      </w:r>
    </w:p>
    <w:p w:rsidR="00C50BC9" w:rsidRDefault="00C50BC9" w:rsidP="00C50BC9">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363511">
        <w:rPr>
          <w:sz w:val="24"/>
          <w:szCs w:val="24"/>
        </w:rPr>
        <w:t>30</w:t>
      </w:r>
      <w:r>
        <w:rPr>
          <w:sz w:val="24"/>
          <w:szCs w:val="24"/>
        </w:rPr>
        <w:t>.04.</w:t>
      </w:r>
      <w:r w:rsidRPr="00B0181B">
        <w:rPr>
          <w:sz w:val="24"/>
          <w:szCs w:val="24"/>
        </w:rPr>
        <w:t>202</w:t>
      </w:r>
      <w:r>
        <w:rPr>
          <w:sz w:val="24"/>
          <w:szCs w:val="24"/>
        </w:rPr>
        <w:t>4</w:t>
      </w:r>
    </w:p>
    <w:p w:rsidR="00363511" w:rsidRPr="00363511" w:rsidRDefault="00C50BC9" w:rsidP="00363511">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63511" w:rsidRPr="00363511">
        <w:rPr>
          <w:rFonts w:ascii="Arial" w:hAnsi="Arial" w:cs="Arial"/>
          <w:sz w:val="24"/>
          <w:szCs w:val="24"/>
        </w:rPr>
        <w:t>İdaremiz tarafından hazırlanan Mersin İli, Yenişehir İlçesi, Yenişehir 4. Etap 1/1000 Ölçekli Revizyon Uygulama İmar Planı, Yenişehir Belediye Meclisinin 06.02.2023 tarih ve 39 (UİP¬-331004879) sayılı meclis kararı; Mersin Büyükşehir Belediye Meclisinin 14.07.2023 tarih ve 309 sayılı meclis kararı ile tadilen onaylanarak 3194 sayılı İmar Kanununun 8. Maddesi (b) bendi gereğince 24.08.2023-25.09.2023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363511" w:rsidRPr="00363511" w:rsidRDefault="00363511" w:rsidP="00363511">
      <w:pPr>
        <w:tabs>
          <w:tab w:val="left" w:pos="3402"/>
          <w:tab w:val="left" w:pos="3686"/>
        </w:tabs>
        <w:spacing w:after="120" w:line="240" w:lineRule="auto"/>
        <w:jc w:val="both"/>
        <w:rPr>
          <w:rFonts w:ascii="Arial" w:hAnsi="Arial" w:cs="Arial"/>
          <w:sz w:val="24"/>
          <w:szCs w:val="24"/>
        </w:rPr>
      </w:pPr>
      <w:r w:rsidRPr="00363511">
        <w:rPr>
          <w:rFonts w:ascii="Arial" w:hAnsi="Arial" w:cs="Arial"/>
          <w:sz w:val="24"/>
          <w:szCs w:val="24"/>
        </w:rPr>
        <w:t xml:space="preserve">Söz konusu itirazlar Yenişehir Belediye Meclisinin 06.11.2023 tarih ve 189 sayılı kararı ile değerlendirilmiş olup Mersin Büyükşehir Belediye Meclisinin 15.01.2024 tarih ve 33 sayılı kararı ile onaylanmıştır. Uygun görülen itirazlar doğrultusunda tadilen onaylanan 1/1000 ölçekli Uygulama İmar Planı değişiklikleri, 3194 sayılı İmar Kanunun 8. Maddesi (b) bendi gereğince 08.02.2024-08.03.2024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4 (dört) adet itiraz olmuştur. </w:t>
      </w:r>
    </w:p>
    <w:p w:rsidR="002E2776" w:rsidRDefault="00363511" w:rsidP="00363511">
      <w:pPr>
        <w:tabs>
          <w:tab w:val="left" w:pos="3402"/>
          <w:tab w:val="left" w:pos="3686"/>
        </w:tabs>
        <w:spacing w:after="120" w:line="240" w:lineRule="auto"/>
        <w:jc w:val="both"/>
        <w:rPr>
          <w:rFonts w:ascii="Arial" w:hAnsi="Arial" w:cs="Arial"/>
          <w:sz w:val="24"/>
          <w:szCs w:val="24"/>
        </w:rPr>
      </w:pPr>
      <w:r w:rsidRPr="00363511">
        <w:rPr>
          <w:rFonts w:ascii="Arial" w:hAnsi="Arial" w:cs="Arial"/>
          <w:sz w:val="24"/>
          <w:szCs w:val="24"/>
        </w:rPr>
        <w:t>Teklifin komisyonlarımızca incelenmesi neticesinde; Yenişehir 4. Etap 1/1000 Ölçekli Revizyon Uygulama İmar Planı’na gelen 4 (dört) adet itirazların aşağıdaki şekliyle değerlendirilmesinin kabulüne komisyonlarımız tarafından oy birliği ile karar verildi.</w:t>
      </w:r>
    </w:p>
    <w:p w:rsidR="00F35217" w:rsidRDefault="00F35217" w:rsidP="00363511">
      <w:pPr>
        <w:tabs>
          <w:tab w:val="left" w:pos="3402"/>
          <w:tab w:val="left" w:pos="3686"/>
        </w:tabs>
        <w:spacing w:after="120" w:line="240" w:lineRule="auto"/>
        <w:jc w:val="both"/>
        <w:rPr>
          <w:rFonts w:ascii="Arial" w:hAnsi="Arial" w:cs="Arial"/>
          <w:sz w:val="24"/>
          <w:szCs w:val="24"/>
        </w:rPr>
      </w:pPr>
    </w:p>
    <w:p w:rsidR="00F35217" w:rsidRDefault="00F35217" w:rsidP="00363511">
      <w:pPr>
        <w:tabs>
          <w:tab w:val="left" w:pos="3402"/>
          <w:tab w:val="left" w:pos="3686"/>
        </w:tabs>
        <w:spacing w:after="120" w:line="240" w:lineRule="auto"/>
        <w:jc w:val="both"/>
        <w:rPr>
          <w:rFonts w:ascii="Arial" w:hAnsi="Arial" w:cs="Arial"/>
          <w:sz w:val="24"/>
          <w:szCs w:val="24"/>
        </w:rPr>
      </w:pPr>
    </w:p>
    <w:p w:rsidR="00F35217" w:rsidRDefault="00F35217" w:rsidP="00363511">
      <w:pPr>
        <w:tabs>
          <w:tab w:val="left" w:pos="3402"/>
          <w:tab w:val="left" w:pos="3686"/>
        </w:tabs>
        <w:spacing w:after="120" w:line="240" w:lineRule="auto"/>
        <w:jc w:val="both"/>
        <w:rPr>
          <w:rFonts w:ascii="Arial" w:hAnsi="Arial" w:cs="Arial"/>
          <w:sz w:val="24"/>
          <w:szCs w:val="24"/>
        </w:rPr>
      </w:pPr>
    </w:p>
    <w:tbl>
      <w:tblPr>
        <w:tblW w:w="9660" w:type="dxa"/>
        <w:jc w:val="center"/>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78"/>
        <w:gridCol w:w="1134"/>
        <w:gridCol w:w="993"/>
        <w:gridCol w:w="1134"/>
        <w:gridCol w:w="992"/>
        <w:gridCol w:w="547"/>
        <w:gridCol w:w="729"/>
        <w:gridCol w:w="850"/>
        <w:gridCol w:w="2703"/>
      </w:tblGrid>
      <w:tr w:rsidR="00F35217" w:rsidTr="00F35217">
        <w:trPr>
          <w:trHeight w:val="492"/>
          <w:jc w:val="center"/>
        </w:trPr>
        <w:tc>
          <w:tcPr>
            <w:tcW w:w="579" w:type="dxa"/>
            <w:vMerge w:val="restart"/>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lastRenderedPageBreak/>
              <w:t>Sıra No</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Dilekçe</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rPr>
              <w:t>Dilekçe Sahibi</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İtiraza Konu Alan</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F35217" w:rsidRDefault="00F35217">
            <w:pPr>
              <w:rPr>
                <w:rFonts w:eastAsiaTheme="minorEastAsia"/>
              </w:rPr>
            </w:pP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Değerlendirme</w:t>
            </w:r>
          </w:p>
        </w:tc>
      </w:tr>
      <w:tr w:rsidR="00F35217" w:rsidTr="00F35217">
        <w:trPr>
          <w:trHeight w:val="384"/>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F35217" w:rsidRDefault="00F35217">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Tarihi</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Sayısı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35217" w:rsidRDefault="00F35217">
            <w:pPr>
              <w:rPr>
                <w:b/>
                <w:bCs/>
                <w:color w:val="00000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Mahalle</w:t>
            </w:r>
          </w:p>
        </w:tc>
        <w:tc>
          <w:tcPr>
            <w:tcW w:w="547"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Ada</w:t>
            </w:r>
          </w:p>
        </w:tc>
        <w:tc>
          <w:tcPr>
            <w:tcW w:w="72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Parsel</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5217" w:rsidRDefault="00F35217">
            <w:pPr>
              <w:rPr>
                <w:rFonts w:eastAsiaTheme="minorEastAsia"/>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rsidR="00F35217" w:rsidRDefault="00F35217">
            <w:pPr>
              <w:rPr>
                <w:b/>
                <w:bCs/>
                <w:color w:val="000000"/>
              </w:rPr>
            </w:pPr>
          </w:p>
        </w:tc>
      </w:tr>
      <w:tr w:rsidR="00F35217" w:rsidTr="00F35217">
        <w:trPr>
          <w:trHeight w:val="1209"/>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20.02.2024</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35217" w:rsidRDefault="00F35217">
            <w:pPr>
              <w:jc w:val="center"/>
              <w:rPr>
                <w:color w:val="000000"/>
              </w:rPr>
            </w:pPr>
            <w:r>
              <w:rPr>
                <w:color w:val="000000"/>
              </w:rPr>
              <w:t>7686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Çiftlik</w:t>
            </w:r>
          </w:p>
        </w:tc>
        <w:tc>
          <w:tcPr>
            <w:tcW w:w="547"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2822</w:t>
            </w:r>
          </w:p>
        </w:tc>
        <w:tc>
          <w:tcPr>
            <w:tcW w:w="729" w:type="dxa"/>
            <w:tcBorders>
              <w:top w:val="single" w:sz="4" w:space="0" w:color="auto"/>
              <w:left w:val="single" w:sz="4" w:space="0" w:color="auto"/>
              <w:bottom w:val="single" w:sz="4" w:space="0" w:color="auto"/>
              <w:right w:val="single" w:sz="4" w:space="0" w:color="auto"/>
            </w:tcBorders>
            <w:vAlign w:val="center"/>
          </w:tcPr>
          <w:p w:rsidR="00F35217" w:rsidRDefault="00F35217">
            <w:pPr>
              <w:jc w:val="center"/>
              <w:rPr>
                <w:rFonts w:ascii="Times New Roman" w:eastAsia="Times New Roman" w:hAnsi="Times New Roman" w:cs="Times New Roman"/>
                <w:color w:val="000000"/>
                <w:sz w:val="20"/>
                <w:szCs w:val="20"/>
              </w:rPr>
            </w:pPr>
          </w:p>
          <w:p w:rsidR="00F35217" w:rsidRDefault="00F35217">
            <w:pPr>
              <w:jc w:val="center"/>
              <w:rPr>
                <w:color w:val="000000"/>
              </w:rPr>
            </w:pPr>
            <w:r>
              <w:rPr>
                <w:color w:val="00000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itirazın</w:t>
            </w:r>
          </w:p>
        </w:tc>
        <w:tc>
          <w:tcPr>
            <w:tcW w:w="270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r>
      <w:tr w:rsidR="00F35217" w:rsidTr="00F35217">
        <w:trPr>
          <w:trHeight w:val="749"/>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07.03.2024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98292758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Mersin İl Milli Eğitim Müdürlüğü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itirazın</w:t>
            </w:r>
          </w:p>
        </w:tc>
        <w:tc>
          <w:tcPr>
            <w:tcW w:w="270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both"/>
              <w:rPr>
                <w:color w:val="000000"/>
              </w:rPr>
            </w:pPr>
            <w:r>
              <w:rPr>
                <w:color w:val="000000"/>
              </w:rPr>
              <w:t xml:space="preserve">3194 sayılı İmar Kanunu'nun 18. maddesine göre yapılacak imar uygulaması ile değerlendirilecek bir konu olması nedeniyle </w:t>
            </w:r>
            <w:r>
              <w:rPr>
                <w:b/>
                <w:color w:val="000000"/>
              </w:rPr>
              <w:t>reddine,</w:t>
            </w:r>
          </w:p>
        </w:tc>
      </w:tr>
      <w:tr w:rsidR="00F35217" w:rsidTr="00F35217">
        <w:trPr>
          <w:trHeight w:val="1209"/>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08.03.2024</w:t>
            </w:r>
          </w:p>
        </w:tc>
        <w:tc>
          <w:tcPr>
            <w:tcW w:w="993" w:type="dxa"/>
            <w:tcBorders>
              <w:top w:val="single" w:sz="4" w:space="0" w:color="auto"/>
              <w:left w:val="single" w:sz="4" w:space="0" w:color="auto"/>
              <w:bottom w:val="single" w:sz="4" w:space="0" w:color="auto"/>
              <w:right w:val="single" w:sz="4" w:space="0" w:color="auto"/>
            </w:tcBorders>
            <w:noWrap/>
            <w:vAlign w:val="center"/>
          </w:tcPr>
          <w:p w:rsidR="00F35217" w:rsidRDefault="00F35217">
            <w:pPr>
              <w:jc w:val="center"/>
              <w:rPr>
                <w:rFonts w:ascii="Times New Roman" w:eastAsia="Calibri" w:hAnsi="Times New Roman" w:cs="Times New Roman"/>
                <w:sz w:val="20"/>
                <w:szCs w:val="20"/>
              </w:rPr>
            </w:pPr>
            <w:r>
              <w:rPr>
                <w:rStyle w:val="fontstyle01"/>
              </w:rPr>
              <w:t>4857138</w:t>
            </w:r>
          </w:p>
          <w:p w:rsidR="00F35217" w:rsidRDefault="00F35217">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rFonts w:ascii="Times New Roman" w:eastAsia="Times New Roman" w:hAnsi="Times New Roman" w:cs="Times New Roman"/>
                <w:color w:val="000000"/>
                <w:sz w:val="20"/>
                <w:szCs w:val="20"/>
              </w:rPr>
            </w:pPr>
            <w:r>
              <w:rPr>
                <w:color w:val="000000"/>
              </w:rPr>
              <w:t xml:space="preserve">Mersin Valiliği </w:t>
            </w:r>
          </w:p>
          <w:p w:rsidR="00F35217" w:rsidRDefault="00F35217">
            <w:pPr>
              <w:jc w:val="center"/>
              <w:rPr>
                <w:color w:val="000000"/>
              </w:rPr>
            </w:pPr>
            <w:r>
              <w:rPr>
                <w:color w:val="000000"/>
              </w:rPr>
              <w:t>İl Müftülüğü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itirazın</w:t>
            </w:r>
          </w:p>
        </w:tc>
        <w:tc>
          <w:tcPr>
            <w:tcW w:w="270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both"/>
              <w:rPr>
                <w:color w:val="000000"/>
              </w:rPr>
            </w:pPr>
            <w:r>
              <w:rPr>
                <w:color w:val="000000"/>
              </w:rPr>
              <w:t xml:space="preserve">Askıya çıkarılmış bölgeler dışında kaldığı anlaşıldığından </w:t>
            </w:r>
            <w:r>
              <w:rPr>
                <w:b/>
                <w:color w:val="000000"/>
              </w:rPr>
              <w:t>reddine,</w:t>
            </w:r>
          </w:p>
        </w:tc>
      </w:tr>
      <w:tr w:rsidR="00F35217" w:rsidTr="00F35217">
        <w:trPr>
          <w:trHeight w:val="749"/>
          <w:jc w:val="center"/>
        </w:trPr>
        <w:tc>
          <w:tcPr>
            <w:tcW w:w="57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b/>
                <w:bCs/>
                <w:color w:val="000000"/>
              </w:rPr>
            </w:pPr>
            <w:r>
              <w:rPr>
                <w:b/>
                <w:bCs/>
                <w:color w:val="00000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29.02.2024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11149944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Mersin Orman Bölge Müdürlüğü</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547"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729"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center"/>
              <w:rPr>
                <w:color w:val="000000"/>
              </w:rPr>
            </w:pPr>
            <w:r>
              <w:rPr>
                <w:color w:val="000000"/>
              </w:rPr>
              <w:t>itirazın</w:t>
            </w:r>
          </w:p>
        </w:tc>
        <w:tc>
          <w:tcPr>
            <w:tcW w:w="2704" w:type="dxa"/>
            <w:tcBorders>
              <w:top w:val="single" w:sz="4" w:space="0" w:color="auto"/>
              <w:left w:val="single" w:sz="4" w:space="0" w:color="auto"/>
              <w:bottom w:val="single" w:sz="4" w:space="0" w:color="auto"/>
              <w:right w:val="single" w:sz="4" w:space="0" w:color="auto"/>
            </w:tcBorders>
            <w:vAlign w:val="center"/>
            <w:hideMark/>
          </w:tcPr>
          <w:p w:rsidR="00F35217" w:rsidRDefault="00F35217">
            <w:pPr>
              <w:jc w:val="both"/>
              <w:rPr>
                <w:color w:val="000000"/>
              </w:rPr>
            </w:pPr>
            <w:r>
              <w:t>Askıya çıkarılmış bölgeler dışında kaldığı, Mersin Büyükşehir Belediye Meclisinin</w:t>
            </w:r>
            <w:r>
              <w:rPr>
                <w:b/>
              </w:rPr>
              <w:t xml:space="preserve"> </w:t>
            </w:r>
            <w:r>
              <w:t>10.</w:t>
            </w:r>
            <w:bookmarkStart w:id="0" w:name="_GoBack"/>
            <w:bookmarkEnd w:id="0"/>
            <w:r>
              <w:t xml:space="preserve">10.2022 tarih ve 524 sayılı kararında söz konusu parsellere ilişkin yeni bir düzenleme yapılmadığı anlaşıldığından </w:t>
            </w:r>
            <w:r>
              <w:rPr>
                <w:b/>
              </w:rPr>
              <w:t>reddine;</w:t>
            </w:r>
            <w:r>
              <w:t xml:space="preserve"> diğer hususların Orman Kanunu’nun 17’nci Maddesinin üçüncü fıkrasının Uygulanması Hakkında Yönetmelik kapsamında ilgili kamu kurumuna tahsis yapılabileceği anlaşıldığından </w:t>
            </w:r>
            <w:r>
              <w:rPr>
                <w:b/>
              </w:rPr>
              <w:t>reddine,</w:t>
            </w:r>
          </w:p>
        </w:tc>
      </w:tr>
    </w:tbl>
    <w:p w:rsidR="00F35217" w:rsidRDefault="00F35217" w:rsidP="00363511">
      <w:pPr>
        <w:tabs>
          <w:tab w:val="left" w:pos="3402"/>
          <w:tab w:val="left" w:pos="3686"/>
        </w:tabs>
        <w:spacing w:after="120" w:line="240" w:lineRule="auto"/>
        <w:jc w:val="both"/>
        <w:rPr>
          <w:rFonts w:ascii="Arial" w:hAnsi="Arial" w:cs="Arial"/>
          <w:b/>
          <w:sz w:val="24"/>
          <w:szCs w:val="24"/>
        </w:rPr>
      </w:pPr>
    </w:p>
    <w:p w:rsidR="00A815C6" w:rsidRDefault="00A815C6" w:rsidP="00363511">
      <w:pPr>
        <w:tabs>
          <w:tab w:val="left" w:pos="3402"/>
          <w:tab w:val="left" w:pos="3686"/>
        </w:tabs>
        <w:spacing w:after="120" w:line="240" w:lineRule="auto"/>
        <w:jc w:val="both"/>
        <w:rPr>
          <w:rFonts w:ascii="Arial" w:hAnsi="Arial" w:cs="Arial"/>
          <w:b/>
          <w:sz w:val="24"/>
          <w:szCs w:val="24"/>
        </w:rPr>
      </w:pPr>
    </w:p>
    <w:p w:rsidR="00A815C6" w:rsidRDefault="00A815C6" w:rsidP="00363511">
      <w:pPr>
        <w:tabs>
          <w:tab w:val="left" w:pos="3402"/>
          <w:tab w:val="left" w:pos="3686"/>
        </w:tabs>
        <w:spacing w:after="120" w:line="240" w:lineRule="auto"/>
        <w:jc w:val="both"/>
        <w:rPr>
          <w:rFonts w:ascii="Arial" w:hAnsi="Arial" w:cs="Arial"/>
          <w:b/>
          <w:sz w:val="24"/>
          <w:szCs w:val="24"/>
        </w:rPr>
      </w:pPr>
    </w:p>
    <w:p w:rsidR="00A815C6" w:rsidRDefault="00A815C6" w:rsidP="00A815C6">
      <w:pPr>
        <w:tabs>
          <w:tab w:val="left" w:pos="3402"/>
          <w:tab w:val="left" w:pos="3686"/>
        </w:tabs>
        <w:spacing w:after="120" w:line="240" w:lineRule="auto"/>
        <w:jc w:val="both"/>
        <w:rPr>
          <w:rFonts w:ascii="Arial" w:hAnsi="Arial" w:cs="Arial"/>
          <w:b/>
          <w:sz w:val="24"/>
          <w:szCs w:val="24"/>
        </w:rPr>
      </w:pPr>
    </w:p>
    <w:p w:rsidR="00A815C6" w:rsidRPr="00A815C6" w:rsidRDefault="00A815C6" w:rsidP="00A815C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A815C6">
        <w:rPr>
          <w:rFonts w:ascii="Arial" w:hAnsi="Arial" w:cs="Arial"/>
          <w:sz w:val="24"/>
          <w:szCs w:val="24"/>
        </w:rPr>
        <w:t>3</w:t>
      </w:r>
    </w:p>
    <w:p w:rsidR="00A815C6" w:rsidRPr="00A346A6" w:rsidRDefault="00A815C6" w:rsidP="00A815C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06.05.</w:t>
      </w:r>
      <w:r w:rsidRPr="00A346A6">
        <w:rPr>
          <w:rFonts w:ascii="Arial" w:hAnsi="Arial" w:cs="Arial"/>
          <w:sz w:val="24"/>
          <w:szCs w:val="24"/>
        </w:rPr>
        <w:t>202</w:t>
      </w:r>
      <w:r>
        <w:rPr>
          <w:rFonts w:ascii="Arial" w:hAnsi="Arial" w:cs="Arial"/>
          <w:sz w:val="24"/>
          <w:szCs w:val="24"/>
        </w:rPr>
        <w:t>4</w:t>
      </w:r>
    </w:p>
    <w:p w:rsidR="00A815C6" w:rsidRPr="000148B2" w:rsidRDefault="00A815C6" w:rsidP="00A815C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0148B2">
        <w:rPr>
          <w:rFonts w:ascii="Arial" w:hAnsi="Arial" w:cs="Arial"/>
          <w:sz w:val="24"/>
          <w:szCs w:val="24"/>
        </w:rPr>
        <w:t>1</w:t>
      </w:r>
      <w:r>
        <w:rPr>
          <w:rFonts w:ascii="Arial" w:hAnsi="Arial" w:cs="Arial"/>
          <w:sz w:val="24"/>
          <w:szCs w:val="24"/>
        </w:rPr>
        <w:t>2</w:t>
      </w:r>
    </w:p>
    <w:p w:rsidR="00A815C6" w:rsidRPr="00A346A6" w:rsidRDefault="00A815C6" w:rsidP="00A815C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06.04.</w:t>
      </w:r>
      <w:r w:rsidRPr="00A346A6">
        <w:rPr>
          <w:rFonts w:ascii="Arial" w:hAnsi="Arial" w:cs="Arial"/>
          <w:sz w:val="24"/>
          <w:szCs w:val="24"/>
        </w:rPr>
        <w:t>202</w:t>
      </w:r>
      <w:r>
        <w:rPr>
          <w:rFonts w:ascii="Arial" w:hAnsi="Arial" w:cs="Arial"/>
          <w:sz w:val="24"/>
          <w:szCs w:val="24"/>
        </w:rPr>
        <w:t>4</w:t>
      </w:r>
    </w:p>
    <w:p w:rsidR="00A815C6" w:rsidRPr="00692CB8" w:rsidRDefault="00A815C6" w:rsidP="00A815C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72</w:t>
      </w:r>
    </w:p>
    <w:p w:rsidR="00A815C6" w:rsidRDefault="00A815C6" w:rsidP="00A815C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sidRPr="00DB74B8">
        <w:rPr>
          <w:sz w:val="24"/>
          <w:szCs w:val="24"/>
        </w:rPr>
        <w:t>,</w:t>
      </w:r>
      <w:r>
        <w:rPr>
          <w:sz w:val="24"/>
          <w:szCs w:val="24"/>
        </w:rPr>
        <w:t xml:space="preserve"> Enerji ve Ekoloji Komisyonu, Hukuk ve </w:t>
      </w:r>
      <w:r>
        <w:rPr>
          <w:sz w:val="24"/>
          <w:szCs w:val="24"/>
        </w:rPr>
        <w:tab/>
      </w:r>
      <w:r>
        <w:rPr>
          <w:sz w:val="24"/>
          <w:szCs w:val="24"/>
        </w:rPr>
        <w:tab/>
      </w:r>
      <w:r>
        <w:rPr>
          <w:sz w:val="24"/>
          <w:szCs w:val="24"/>
        </w:rPr>
        <w:tab/>
        <w:t>Temel Haklar Komisyonu</w:t>
      </w:r>
      <w:r>
        <w:rPr>
          <w:rFonts w:ascii="Arial" w:hAnsi="Arial" w:cs="Arial"/>
        </w:rPr>
        <w:tab/>
      </w:r>
    </w:p>
    <w:p w:rsidR="00A815C6" w:rsidRDefault="00A815C6" w:rsidP="00A815C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A815C6" w:rsidRDefault="00A815C6" w:rsidP="00A815C6">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A815C6" w:rsidRPr="0015558A" w:rsidRDefault="00A815C6" w:rsidP="00A815C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15558A">
        <w:rPr>
          <w:rFonts w:ascii="Arial" w:hAnsi="Arial" w:cs="Arial"/>
          <w:b/>
        </w:rPr>
        <w:t xml:space="preserve">Hukuk ve Temel Haklar Komisyonu: </w:t>
      </w:r>
      <w:r>
        <w:rPr>
          <w:rFonts w:ascii="Arial" w:hAnsi="Arial" w:cs="Arial"/>
          <w:b/>
        </w:rPr>
        <w:t xml:space="preserve"> </w:t>
      </w:r>
      <w:r w:rsidRPr="0015558A">
        <w:rPr>
          <w:rFonts w:ascii="Arial" w:hAnsi="Arial" w:cs="Arial"/>
        </w:rPr>
        <w:t xml:space="preserve">İbrahim CİNBAŞ </w:t>
      </w:r>
      <w:r>
        <w:rPr>
          <w:rFonts w:ascii="Arial" w:hAnsi="Arial" w:cs="Arial"/>
        </w:rPr>
        <w:tab/>
      </w:r>
      <w:r>
        <w:rPr>
          <w:rFonts w:ascii="Arial" w:hAnsi="Arial" w:cs="Arial"/>
        </w:rPr>
        <w:tab/>
      </w:r>
      <w:r w:rsidRPr="0015558A">
        <w:rPr>
          <w:rFonts w:ascii="Arial" w:hAnsi="Arial" w:cs="Arial"/>
        </w:rPr>
        <w:t xml:space="preserve">(Kom. Başk), Nazlı Hilbin DOĞAN (Kom. Başk. V.), Cevdet </w:t>
      </w:r>
      <w:r>
        <w:rPr>
          <w:rFonts w:ascii="Arial" w:hAnsi="Arial" w:cs="Arial"/>
        </w:rPr>
        <w:tab/>
      </w:r>
      <w:r>
        <w:rPr>
          <w:rFonts w:ascii="Arial" w:hAnsi="Arial" w:cs="Arial"/>
        </w:rPr>
        <w:tab/>
      </w:r>
      <w:r w:rsidRPr="0015558A">
        <w:rPr>
          <w:rFonts w:ascii="Arial" w:hAnsi="Arial" w:cs="Arial"/>
        </w:rPr>
        <w:t>YILMAZ, Umut AKYÜZ, Selim Raci DİBO</w:t>
      </w:r>
    </w:p>
    <w:p w:rsidR="00A815C6" w:rsidRDefault="00A815C6" w:rsidP="00A815C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30.04.</w:t>
      </w:r>
      <w:r w:rsidRPr="00B0181B">
        <w:rPr>
          <w:sz w:val="24"/>
          <w:szCs w:val="24"/>
        </w:rPr>
        <w:t>202</w:t>
      </w:r>
      <w:r>
        <w:rPr>
          <w:sz w:val="24"/>
          <w:szCs w:val="24"/>
        </w:rPr>
        <w:t>4</w:t>
      </w:r>
    </w:p>
    <w:p w:rsidR="00261177" w:rsidRPr="00261177" w:rsidRDefault="00A815C6" w:rsidP="00261177">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61177" w:rsidRPr="00261177">
        <w:rPr>
          <w:rFonts w:ascii="Arial" w:hAnsi="Arial" w:cs="Arial"/>
          <w:sz w:val="24"/>
          <w:szCs w:val="24"/>
        </w:rPr>
        <w:t>İdaremiz tarafından Mersin İli, Yenişehir İlçesi, Emirler 1/1000 Ölçekli Uygulama İmar Planı, Yenişehir Belediye Meclisinin 06.11.2023 tarih ve 191 (UİP¬-331034270) sayılı meclis kararı; Mersin Büyükşehir Belediye Meclisinin 11.12.2023 tarih ve 655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84 (seksen dört) adet itiraz olmuştur.</w:t>
      </w:r>
    </w:p>
    <w:p w:rsidR="00261177" w:rsidRPr="00261177" w:rsidRDefault="00261177" w:rsidP="00261177">
      <w:pPr>
        <w:tabs>
          <w:tab w:val="left" w:pos="3402"/>
          <w:tab w:val="left" w:pos="3686"/>
        </w:tabs>
        <w:spacing w:after="120" w:line="240" w:lineRule="auto"/>
        <w:jc w:val="both"/>
        <w:rPr>
          <w:rFonts w:ascii="Arial" w:hAnsi="Arial" w:cs="Arial"/>
          <w:sz w:val="24"/>
          <w:szCs w:val="24"/>
        </w:rPr>
      </w:pPr>
      <w:r w:rsidRPr="00261177">
        <w:rPr>
          <w:rFonts w:ascii="Arial" w:hAnsi="Arial" w:cs="Arial"/>
          <w:sz w:val="24"/>
          <w:szCs w:val="24"/>
        </w:rPr>
        <w:t>Teklifin Komisyonlarımız tarafından incelenmesi neticesinde;  Yenişehir Emirler 1/1000 Ölçekli Uygulama İmar Planı’na gelen 84 (seksen dört) adet itirazın aşağıdaki şekliyle değerlendirilmesine,</w:t>
      </w:r>
    </w:p>
    <w:p w:rsidR="00A815C6" w:rsidRDefault="00261177" w:rsidP="00261177">
      <w:pPr>
        <w:tabs>
          <w:tab w:val="left" w:pos="3402"/>
          <w:tab w:val="left" w:pos="3686"/>
        </w:tabs>
        <w:spacing w:after="120" w:line="240" w:lineRule="auto"/>
        <w:jc w:val="both"/>
        <w:rPr>
          <w:rFonts w:ascii="Arial" w:hAnsi="Arial" w:cs="Arial"/>
          <w:sz w:val="24"/>
          <w:szCs w:val="24"/>
        </w:rPr>
      </w:pPr>
      <w:r w:rsidRPr="00261177">
        <w:rPr>
          <w:rFonts w:ascii="Arial" w:hAnsi="Arial" w:cs="Arial"/>
          <w:sz w:val="24"/>
          <w:szCs w:val="24"/>
        </w:rPr>
        <w:t>Ayrıca, plan paftalarında ve plan hükümlerinde yer alan maddi hataların ekli paraflı krokide görüldüğü şekli ile düzeltilmesinin kabulüne komisyonlarımız tarafından oy birliği ile karar verildi.</w:t>
      </w: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tbl>
      <w:tblPr>
        <w:tblW w:w="5350" w:type="pct"/>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31"/>
        <w:gridCol w:w="1144"/>
        <w:gridCol w:w="1144"/>
        <w:gridCol w:w="1292"/>
        <w:gridCol w:w="887"/>
        <w:gridCol w:w="500"/>
        <w:gridCol w:w="1197"/>
        <w:gridCol w:w="750"/>
        <w:gridCol w:w="2296"/>
        <w:gridCol w:w="721"/>
      </w:tblGrid>
      <w:tr w:rsidR="00261177" w:rsidTr="00261177">
        <w:trPr>
          <w:trHeight w:val="300"/>
        </w:trPr>
        <w:tc>
          <w:tcPr>
            <w:tcW w:w="238"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lastRenderedPageBreak/>
              <w:t>Sıra No</w:t>
            </w:r>
          </w:p>
        </w:tc>
        <w:tc>
          <w:tcPr>
            <w:tcW w:w="1049" w:type="pct"/>
            <w:gridSpan w:val="2"/>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Dilekçe</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Dilekçe Sahibi</w:t>
            </w:r>
          </w:p>
        </w:tc>
        <w:tc>
          <w:tcPr>
            <w:tcW w:w="1079" w:type="pct"/>
            <w:gridSpan w:val="3"/>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İtiraza Konu Alan</w:t>
            </w:r>
          </w:p>
        </w:tc>
        <w:tc>
          <w:tcPr>
            <w:tcW w:w="423"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rFonts w:ascii="Calibri" w:hAnsi="Calibri" w:cs="Calibri"/>
                <w:color w:val="000000"/>
              </w:rPr>
            </w:pPr>
            <w:r>
              <w:rPr>
                <w:rFonts w:ascii="Calibri" w:hAnsi="Calibri" w:cs="Calibri"/>
                <w:color w:val="000000"/>
              </w:rPr>
              <w:t> </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Değerlendirme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b/>
                <w:bCs/>
                <w:color w:val="000000"/>
              </w:rPr>
            </w:pP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Tarihi</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Sayısı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b/>
                <w:bCs/>
                <w:color w:val="000000"/>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Mahalle</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Ada</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b/>
                <w:bCs/>
                <w:color w:val="000000"/>
              </w:rPr>
            </w:pPr>
            <w:r>
              <w:rPr>
                <w:b/>
                <w:bCs/>
                <w:color w:val="000000"/>
              </w:rPr>
              <w:t>Parsel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b/>
                <w:bCs/>
                <w:color w:val="000000"/>
              </w:rPr>
            </w:pP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1379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160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pPr>
            <w:r>
              <w:t>12.01.2024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pPr>
            <w:r>
              <w:t>1830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pPr>
            <w: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pPr>
            <w:r>
              <w:t>141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pPr>
            <w:r>
              <w:t>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01"/>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16.01.2024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2284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2535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5</w:t>
            </w:r>
          </w:p>
        </w:tc>
        <w:tc>
          <w:tcPr>
            <w:tcW w:w="505"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2542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38</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2421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40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lastRenderedPageBreak/>
              <w:t>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2420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39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plan açıklama raporu ve plan notları ile birlikte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27"/>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2471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136</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18.01.2024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2605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104</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10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18.01.2024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2606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104</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center"/>
              <w:rPr>
                <w:color w:val="000000"/>
              </w:rPr>
            </w:pPr>
            <w:r>
              <w:rPr>
                <w:color w:val="000000"/>
              </w:rPr>
              <w:t>12</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center"/>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50"/>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19.01.2024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2859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17,19,20,21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679"/>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12</w:t>
            </w:r>
          </w:p>
        </w:tc>
        <w:tc>
          <w:tcPr>
            <w:tcW w:w="505"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19.01.2024</w:t>
            </w:r>
          </w:p>
        </w:tc>
        <w:tc>
          <w:tcPr>
            <w:tcW w:w="544"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2861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233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Yolun kaldırılmasının</w:t>
            </w:r>
            <w:r>
              <w:rPr>
                <w:b/>
                <w:bCs/>
                <w:color w:val="000000"/>
              </w:rPr>
              <w:t xml:space="preserve"> </w:t>
            </w: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87"/>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19.01.2024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2910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128</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73"/>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22.01.2024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3148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141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alanın kuzeyinden geçen yolun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22.01.2024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3286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069"/>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3533</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w:t>
            </w:r>
            <w:r>
              <w:rPr>
                <w:color w:val="000000"/>
              </w:rPr>
              <w:lastRenderedPageBreak/>
              <w:t xml:space="preserve">ulaşım ve kullanım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17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3384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3398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22,14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44"/>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3407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73"/>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3409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3471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22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3490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3489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69"/>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24.01.2024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3638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559"/>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24.01.2024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3748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255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25.01.2024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3942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243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26.01.2024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4107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28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26.01.2024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4046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29.01.2024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4420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29.01.2024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4334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3,4 ve 15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29.01.2024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4264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058"/>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30.01.2024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4542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255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kabulüne;</w:t>
            </w:r>
            <w:r>
              <w:rPr>
                <w:color w:val="000000"/>
              </w:rPr>
              <w:t xml:space="preserve"> alanın mevcut halihazır kullanımına uygun olarak ekli paraflı krokide görüldüğü şekliyle yeniden düzenlenmesine ve bahse konu alanın 1/5000 Ölçekli Nazım İmar Planında gerekli revizyonun yapılmasına, </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31.01.2024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4698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157</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31.01.2024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4696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12</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 xml:space="preserve">kısmen kabulüne; </w:t>
            </w:r>
            <w:r>
              <w:rPr>
                <w:color w:val="000000"/>
              </w:rPr>
              <w:t>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448"/>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35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4934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 </w:t>
            </w: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r>
              <w:rPr>
                <w:color w:val="000000"/>
              </w:rPr>
              <w:b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13,11,12,9,</w:t>
            </w:r>
            <w:r>
              <w:br/>
              <w:t>236,149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6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4821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305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3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4929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rPr>
            </w:pPr>
            <w:r>
              <w:rPr>
                <w:rFonts w:ascii="Calibri" w:hAnsi="Calibri" w:cs="Calibri"/>
              </w:rPr>
              <w:t> </w:t>
            </w: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150</w:t>
            </w:r>
            <w:r>
              <w:b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13,11,12,9,</w:t>
            </w:r>
            <w:r>
              <w:br/>
              <w:t>236,149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 xml:space="preserve">kısmen kabulüne; </w:t>
            </w:r>
            <w:r>
              <w:rPr>
                <w:color w:val="000000"/>
              </w:rPr>
              <w:t>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58"/>
        </w:trPr>
        <w:tc>
          <w:tcPr>
            <w:tcW w:w="238"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38</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4820</w:t>
            </w:r>
          </w:p>
        </w:tc>
        <w:tc>
          <w:tcPr>
            <w:tcW w:w="607"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color w:val="000000"/>
              </w:rPr>
              <w:t>****</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137</w:t>
            </w:r>
            <w:r>
              <w:rPr>
                <w:color w:val="000000"/>
              </w:rPr>
              <w:br/>
              <w:t>138</w:t>
            </w:r>
          </w:p>
        </w:tc>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w:t>
            </w:r>
            <w:r>
              <w:rPr>
                <w:color w:val="000000"/>
              </w:rPr>
              <w:br/>
              <w:t>1</w:t>
            </w:r>
          </w:p>
        </w:tc>
        <w:tc>
          <w:tcPr>
            <w:tcW w:w="423"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5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92"/>
        </w:trPr>
        <w:tc>
          <w:tcPr>
            <w:tcW w:w="238"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39</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4822</w:t>
            </w:r>
          </w:p>
        </w:tc>
        <w:tc>
          <w:tcPr>
            <w:tcW w:w="607"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 </w:t>
            </w:r>
            <w:r>
              <w:rPr>
                <w:color w:val="000000"/>
              </w:rPr>
              <w:t>****</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137</w:t>
            </w:r>
            <w:r>
              <w:rPr>
                <w:color w:val="000000"/>
              </w:rPr>
              <w:br/>
              <w:t>138</w:t>
            </w:r>
          </w:p>
        </w:tc>
        <w:tc>
          <w:tcPr>
            <w:tcW w:w="427"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w:t>
            </w:r>
            <w:r>
              <w:rPr>
                <w:color w:val="000000"/>
              </w:rPr>
              <w:br/>
              <w:t>2</w:t>
            </w:r>
          </w:p>
        </w:tc>
        <w:tc>
          <w:tcPr>
            <w:tcW w:w="423" w:type="pct"/>
            <w:vMerge w:val="restar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5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400"/>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4933</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 </w:t>
            </w: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r>
              <w:rPr>
                <w:color w:val="000000"/>
              </w:rPr>
              <w:b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13,11,12,9,</w:t>
            </w:r>
            <w:r>
              <w:br/>
              <w:t>236,149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 xml:space="preserve">kısmen kabulüne; </w:t>
            </w:r>
            <w:r>
              <w:rPr>
                <w:bCs/>
                <w:color w:val="000000"/>
              </w:rPr>
              <w:t>alanın</w:t>
            </w:r>
            <w:r>
              <w:rPr>
                <w:b/>
                <w:bCs/>
                <w:color w:val="000000"/>
              </w:rPr>
              <w:t xml:space="preserve"> </w:t>
            </w:r>
            <w:r>
              <w:rPr>
                <w:color w:val="000000"/>
              </w:rPr>
              <w:t>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025"/>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4931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 </w:t>
            </w: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r>
              <w:rPr>
                <w:color w:val="000000"/>
              </w:rPr>
              <w:b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13,11,12,9,</w:t>
            </w:r>
            <w:r>
              <w:br/>
              <w:t>236,149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alanın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03"/>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42.1</w:t>
            </w:r>
          </w:p>
        </w:tc>
        <w:tc>
          <w:tcPr>
            <w:tcW w:w="505" w:type="pct"/>
            <w:tcBorders>
              <w:top w:val="single" w:sz="4" w:space="0" w:color="auto"/>
              <w:left w:val="single" w:sz="4" w:space="0" w:color="auto"/>
              <w:bottom w:val="single" w:sz="4" w:space="0" w:color="auto"/>
              <w:right w:val="single" w:sz="4" w:space="0" w:color="auto"/>
            </w:tcBorders>
            <w:noWrap/>
            <w:vAlign w:val="bottom"/>
            <w:hideMark/>
          </w:tcPr>
          <w:p w:rsidR="00261177" w:rsidRDefault="00261177">
            <w:pPr>
              <w:jc w:val="both"/>
              <w:rPr>
                <w:rFonts w:ascii="Calibri" w:hAnsi="Calibri" w:cs="Calibri"/>
                <w:color w:val="000000"/>
              </w:rPr>
            </w:pPr>
            <w:r>
              <w:rPr>
                <w:rFonts w:ascii="Calibri" w:hAnsi="Calibri" w:cs="Calibri"/>
                <w:color w:val="000000"/>
              </w:rPr>
              <w:t>45323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61177" w:rsidRDefault="00261177">
            <w:pPr>
              <w:jc w:val="both"/>
              <w:rPr>
                <w:rFonts w:ascii="Calibri" w:hAnsi="Calibri" w:cs="Calibri"/>
                <w:color w:val="000000"/>
              </w:rPr>
            </w:pPr>
            <w:r>
              <w:rPr>
                <w:rFonts w:ascii="Calibri" w:hAnsi="Calibri" w:cs="Calibri"/>
                <w:color w:val="000000"/>
              </w:rPr>
              <w:t>4935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150</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475"/>
        </w:trPr>
        <w:tc>
          <w:tcPr>
            <w:tcW w:w="238"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rFonts w:ascii="Calibri" w:hAnsi="Calibri" w:cs="Calibri"/>
                <w:color w:val="000000"/>
              </w:rPr>
            </w:pPr>
            <w:r>
              <w:rPr>
                <w:rFonts w:ascii="Calibri" w:hAnsi="Calibri" w:cs="Calibri"/>
                <w:color w:val="000000"/>
              </w:rPr>
              <w:lastRenderedPageBreak/>
              <w:t>42.2</w:t>
            </w:r>
          </w:p>
        </w:tc>
        <w:tc>
          <w:tcPr>
            <w:tcW w:w="505" w:type="pct"/>
            <w:tcBorders>
              <w:top w:val="single" w:sz="4" w:space="0" w:color="auto"/>
              <w:left w:val="single" w:sz="4" w:space="0" w:color="auto"/>
              <w:bottom w:val="single" w:sz="4" w:space="0" w:color="auto"/>
              <w:right w:val="single" w:sz="4" w:space="0" w:color="auto"/>
            </w:tcBorders>
            <w:noWrap/>
            <w:vAlign w:val="bottom"/>
            <w:hideMark/>
          </w:tcPr>
          <w:p w:rsidR="00261177" w:rsidRDefault="00261177">
            <w:pPr>
              <w:jc w:val="both"/>
              <w:rPr>
                <w:rFonts w:ascii="Calibri" w:hAnsi="Calibri" w:cs="Calibri"/>
                <w:color w:val="000000"/>
              </w:rPr>
            </w:pPr>
            <w:r>
              <w:rPr>
                <w:rFonts w:ascii="Calibri" w:hAnsi="Calibri" w:cs="Calibri"/>
                <w:color w:val="000000"/>
              </w:rPr>
              <w:t>45323</w:t>
            </w:r>
          </w:p>
        </w:tc>
        <w:tc>
          <w:tcPr>
            <w:tcW w:w="544" w:type="pct"/>
            <w:tcBorders>
              <w:top w:val="single" w:sz="4" w:space="0" w:color="auto"/>
              <w:left w:val="single" w:sz="4" w:space="0" w:color="auto"/>
              <w:bottom w:val="single" w:sz="4" w:space="0" w:color="auto"/>
              <w:right w:val="single" w:sz="4" w:space="0" w:color="auto"/>
            </w:tcBorders>
            <w:noWrap/>
            <w:vAlign w:val="bottom"/>
            <w:hideMark/>
          </w:tcPr>
          <w:p w:rsidR="00261177" w:rsidRDefault="00261177">
            <w:pPr>
              <w:jc w:val="both"/>
              <w:rPr>
                <w:rFonts w:ascii="Calibri" w:hAnsi="Calibri" w:cs="Calibri"/>
                <w:color w:val="000000"/>
              </w:rPr>
            </w:pPr>
            <w:r>
              <w:rPr>
                <w:rFonts w:ascii="Calibri" w:hAnsi="Calibri" w:cs="Calibri"/>
                <w:color w:val="000000"/>
              </w:rPr>
              <w:t>4935</w:t>
            </w:r>
          </w:p>
        </w:tc>
        <w:tc>
          <w:tcPr>
            <w:tcW w:w="607" w:type="pct"/>
            <w:tcBorders>
              <w:top w:val="single" w:sz="4" w:space="0" w:color="auto"/>
              <w:left w:val="single" w:sz="4" w:space="0" w:color="auto"/>
              <w:bottom w:val="single" w:sz="4" w:space="0" w:color="auto"/>
              <w:right w:val="single" w:sz="4" w:space="0" w:color="auto"/>
            </w:tcBorders>
            <w:noWrap/>
            <w:vAlign w:val="bottom"/>
            <w:hideMark/>
          </w:tcPr>
          <w:p w:rsidR="00261177" w:rsidRDefault="00261177">
            <w:pPr>
              <w:jc w:val="both"/>
              <w:rPr>
                <w:rFonts w:ascii="Calibri" w:hAnsi="Calibri" w:cs="Calibri"/>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106</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475"/>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43.1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135</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 135 ada 3 nolu parsele yapılan itirazın</w:t>
            </w:r>
            <w:r>
              <w:rPr>
                <w:b/>
                <w:bCs/>
                <w:color w:val="000000"/>
              </w:rPr>
              <w:t xml:space="preserve"> kısmen kabulüne;</w:t>
            </w:r>
            <w:r>
              <w:rPr>
                <w:color w:val="000000"/>
              </w:rPr>
              <w:t xml:space="preserve"> ekli paraflı krokide görüldüğü şekliyle çevresi ile birlikte yeniden düzenlenmesine,  </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134"/>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43.2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211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Mekansal Planlar Yapım Yönetmeliği'nin 26. Maddesine istinaden 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5058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16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5073</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 xml:space="preserve">kısmen kabulüne; </w:t>
            </w:r>
            <w:r>
              <w:rPr>
                <w:bCs/>
                <w:color w:val="000000"/>
              </w:rPr>
              <w:t>alanın</w:t>
            </w:r>
            <w:r>
              <w:rPr>
                <w:color w:val="000000"/>
              </w:rPr>
              <w:t xml:space="preserve">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5074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5092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9,10,11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5159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42</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w:t>
            </w:r>
            <w:r>
              <w:rPr>
                <w:color w:val="000000"/>
              </w:rPr>
              <w:lastRenderedPageBreak/>
              <w:t xml:space="preserve">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49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5180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11,12</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5224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61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5229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236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6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5231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5228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çözümlenecek bir konu olması nedeniyle </w:t>
            </w:r>
            <w:r>
              <w:rPr>
                <w:b/>
                <w:bCs/>
                <w:color w:val="000000"/>
              </w:rPr>
              <w:lastRenderedPageBreak/>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83"/>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54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5238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236</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b/>
                <w:bCs/>
                <w:color w:val="000000"/>
              </w:rPr>
            </w:pPr>
            <w:r>
              <w:rPr>
                <w:b/>
                <w:bCs/>
                <w:color w:val="000000"/>
              </w:rPr>
              <w:t xml:space="preserve">kısmen kabulüne, </w:t>
            </w:r>
            <w:r>
              <w:rPr>
                <w:color w:val="000000"/>
              </w:rPr>
              <w:t xml:space="preserve">alanın </w:t>
            </w:r>
            <w:r>
              <w:rPr>
                <w:bCs/>
                <w:color w:val="000000"/>
              </w:rPr>
              <w:t>ekli paraflı krokide görüldüğü şekliyle yeniden düzenlenmesine</w:t>
            </w:r>
            <w:r>
              <w:rPr>
                <w:b/>
                <w:bCs/>
                <w:color w:val="000000"/>
              </w:rPr>
              <w:t xml:space="preserve"> </w:t>
            </w:r>
            <w:r>
              <w:rPr>
                <w:color w:val="000000"/>
              </w:rPr>
              <w:t>ve</w:t>
            </w:r>
            <w:r>
              <w:rPr>
                <w:b/>
                <w:bCs/>
                <w:color w:val="000000"/>
              </w:rPr>
              <w:t xml:space="preserve"> </w:t>
            </w:r>
            <w:r>
              <w:rPr>
                <w:color w:val="000000"/>
              </w:rPr>
              <w:t>bahse konu alanda</w:t>
            </w:r>
            <w:r>
              <w:rPr>
                <w:b/>
                <w:bCs/>
                <w:color w:val="000000"/>
              </w:rPr>
              <w:t xml:space="preserve"> </w:t>
            </w:r>
            <w:r>
              <w:rPr>
                <w:color w:val="000000"/>
              </w:rPr>
              <w:t xml:space="preserve">1/5000 Ölçekli Nazım İmar Planı'nında gerekli revizyonun yapılmasına; </w:t>
            </w:r>
            <w:r>
              <w:rPr>
                <w:bCs/>
                <w:color w:val="000000"/>
              </w:rPr>
              <w:t xml:space="preserve">Yolun kaldırılmasının </w:t>
            </w:r>
            <w:r>
              <w:rPr>
                <w:color w:val="000000"/>
              </w:rPr>
              <w:t xml:space="preserve">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5236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5237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149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 3194 sayılı İmar Kanunu'nun 18. maddesine göre yapılacak imar uygulaması ile çözümlenecek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5256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58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5254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5257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153</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680"/>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60</w:t>
            </w:r>
          </w:p>
        </w:tc>
        <w:tc>
          <w:tcPr>
            <w:tcW w:w="505"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45327</w:t>
            </w:r>
          </w:p>
        </w:tc>
        <w:tc>
          <w:tcPr>
            <w:tcW w:w="544"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5260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167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kullanım kararlarına uygun olarak hazırlandığı ve  üst ölçekli planda gerekli düzenlemeler yapıldığı takdirde alt ölçekli planda da gerekli düzenlemelerin yapılacağı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5337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15"/>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5410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17,16,15</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5409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r>
              <w:rPr>
                <w:color w:val="000000"/>
              </w:rPr>
              <w:br/>
              <w:t>137</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18,19</w:t>
            </w:r>
            <w:r>
              <w:rPr>
                <w:color w:val="000000"/>
              </w:rPr>
              <w:br/>
              <w:t>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5412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9,8</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65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5414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7,10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5416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131</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11,10</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5602</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020"/>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68</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5490</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106</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69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5508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5545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rPr>
            </w:pPr>
            <w:r>
              <w:rPr>
                <w:rFonts w:ascii="Calibri" w:hAnsi="Calibri" w:cs="Calibri"/>
              </w:rPr>
              <w:t>71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5638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241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rPr>
            </w:pPr>
            <w:r>
              <w:rPr>
                <w:rFonts w:ascii="Calibri" w:hAnsi="Calibri" w:cs="Calibri"/>
              </w:rPr>
              <w:t>72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5636</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157</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rPr>
            </w:pPr>
            <w:r>
              <w:rPr>
                <w:rFonts w:ascii="Calibri" w:hAnsi="Calibri" w:cs="Calibri"/>
              </w:rPr>
              <w:lastRenderedPageBreak/>
              <w:t>73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5634</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106</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pPr>
            <w:r>
              <w:t>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plan hiyerarşisi gereğince üst ölçekli planda belirlenen ulaşım ve kullanım kararlarına uygun olarak hazırlandığı anlaşıldığından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94"/>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5595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9</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b/>
                <w:bCs/>
                <w:color w:val="000000"/>
              </w:rPr>
              <w:t>kısmen kabulüne,</w:t>
            </w:r>
            <w:r>
              <w:rPr>
                <w:color w:val="000000"/>
              </w:rPr>
              <w:t xml:space="preserve"> ekli paraflı krokide görüldüğü şekliyle yeniden düzenlenmesine,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75</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5549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ind w:right="-648"/>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76</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5548</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130</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21</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2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77</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6.02.2024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5575</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228</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772"/>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78</w:t>
            </w:r>
          </w:p>
        </w:tc>
        <w:tc>
          <w:tcPr>
            <w:tcW w:w="505"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45329</w:t>
            </w:r>
          </w:p>
        </w:tc>
        <w:tc>
          <w:tcPr>
            <w:tcW w:w="544"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5677</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pPr>
            <w:r>
              <w:rPr>
                <w:color w:val="000000"/>
              </w:rPr>
              <w:t>Emirler</w:t>
            </w:r>
          </w:p>
        </w:tc>
        <w:tc>
          <w:tcPr>
            <w:tcW w:w="250"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102</w:t>
            </w:r>
          </w:p>
        </w:tc>
        <w:tc>
          <w:tcPr>
            <w:tcW w:w="42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287</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978"/>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79</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5769</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153</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3</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Mekansal Planlar Yapım Yönetmeliği'nin 26. Maddesine istinaden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1286"/>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80</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5751</w:t>
            </w:r>
          </w:p>
        </w:tc>
        <w:tc>
          <w:tcPr>
            <w:tcW w:w="607"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color w:val="000000"/>
              </w:rPr>
            </w:pPr>
            <w:r>
              <w:rPr>
                <w:color w:val="000000"/>
              </w:rPr>
              <w:t>****</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102</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154</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değerlendirilecek bir </w:t>
            </w:r>
            <w:r>
              <w:rPr>
                <w:color w:val="000000"/>
              </w:rPr>
              <w:lastRenderedPageBreak/>
              <w:t xml:space="preserve">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75"/>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81</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17.01.2024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234179516</w:t>
            </w:r>
          </w:p>
        </w:tc>
        <w:tc>
          <w:tcPr>
            <w:tcW w:w="60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r>
              <w:rPr>
                <w:color w:val="000000"/>
              </w:rPr>
              <w:t>Mersin Valiliği</w:t>
            </w:r>
            <w:r>
              <w:rPr>
                <w:color w:val="000000"/>
              </w:rPr>
              <w:br/>
              <w:t xml:space="preserve">İl Sağlık Müdürlüğü </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değerlendirilecek bir konu olması nedeniyle </w:t>
            </w:r>
            <w:r>
              <w:rPr>
                <w:b/>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2438"/>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82</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263503</w:t>
            </w:r>
          </w:p>
        </w:tc>
        <w:tc>
          <w:tcPr>
            <w:tcW w:w="60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r>
              <w:rPr>
                <w:color w:val="000000"/>
              </w:rPr>
              <w:t>Mersin Su ve Kanalizasyon İdaresi Genel Müdürlüğü Emlak ve İstimlak Dairesi Başkanlığı</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b/>
                <w:bCs/>
              </w:rPr>
            </w:pPr>
            <w:r>
              <w:rPr>
                <w:b/>
                <w:bCs/>
              </w:rPr>
              <w:t xml:space="preserve">kısmen kabulüne, </w:t>
            </w:r>
            <w:r>
              <w:t xml:space="preserve">uygun görülen parsellerin ekli paraflı krokide görüldüğü şekliyle yeniden düzenlenmesine; içme suyu hattına ve kanalizasyon projesine ilişkin kısmının Nazım plan kararlarına uygun olarak çizilen planın, ana kararlarının bütünlüğüne ve öngörülen ulaşım sistemine uygun olmadığı anlaşıldığından </w:t>
            </w:r>
            <w:r>
              <w:rPr>
                <w:b/>
                <w:bCs/>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875"/>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83</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4.02.2024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95770676</w:t>
            </w:r>
          </w:p>
        </w:tc>
        <w:tc>
          <w:tcPr>
            <w:tcW w:w="60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r>
              <w:rPr>
                <w:color w:val="000000"/>
              </w:rPr>
              <w:t>İl Milli Eğitim Müdürlüğü</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 xml:space="preserve">3194 sayılı İmar Kanunu'nun 18. maddesine göre yapılacak imar uygulaması ile değerlendirilecek bir konu olması nedeniyle </w:t>
            </w:r>
            <w:r>
              <w:rPr>
                <w:b/>
                <w:bCs/>
                <w:color w:val="000000"/>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r w:rsidR="00261177" w:rsidTr="00261177">
        <w:trPr>
          <w:trHeight w:val="3118"/>
        </w:trPr>
        <w:tc>
          <w:tcPr>
            <w:tcW w:w="238"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lastRenderedPageBreak/>
              <w:t>84</w:t>
            </w:r>
          </w:p>
        </w:tc>
        <w:tc>
          <w:tcPr>
            <w:tcW w:w="505"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7.02.2024</w:t>
            </w:r>
          </w:p>
        </w:tc>
        <w:tc>
          <w:tcPr>
            <w:tcW w:w="544"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10917732</w:t>
            </w:r>
          </w:p>
        </w:tc>
        <w:tc>
          <w:tcPr>
            <w:tcW w:w="60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rPr>
                <w:color w:val="000000"/>
              </w:rPr>
            </w:pPr>
            <w:r>
              <w:rPr>
                <w:color w:val="000000"/>
              </w:rPr>
              <w:t>Mersin Orman Bölge Müdürlüğü Mersin Orman İşletme Müdürlüğü</w:t>
            </w:r>
          </w:p>
        </w:tc>
        <w:tc>
          <w:tcPr>
            <w:tcW w:w="402"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Emirler</w:t>
            </w:r>
          </w:p>
        </w:tc>
        <w:tc>
          <w:tcPr>
            <w:tcW w:w="25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7"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color w:val="000000"/>
              </w:rPr>
            </w:pPr>
            <w:r>
              <w:rPr>
                <w:color w:val="000000"/>
              </w:rPr>
              <w:t>***</w:t>
            </w:r>
          </w:p>
        </w:tc>
        <w:tc>
          <w:tcPr>
            <w:tcW w:w="423" w:type="pct"/>
            <w:tcBorders>
              <w:top w:val="single" w:sz="4" w:space="0" w:color="auto"/>
              <w:left w:val="single" w:sz="4" w:space="0" w:color="auto"/>
              <w:bottom w:val="single" w:sz="4" w:space="0" w:color="auto"/>
              <w:right w:val="single" w:sz="4" w:space="0" w:color="auto"/>
            </w:tcBorders>
            <w:noWrap/>
            <w:vAlign w:val="center"/>
            <w:hideMark/>
          </w:tcPr>
          <w:p w:rsidR="00261177" w:rsidRDefault="00261177">
            <w:pPr>
              <w:jc w:val="both"/>
              <w:rPr>
                <w:rFonts w:ascii="Calibri" w:hAnsi="Calibri" w:cs="Calibri"/>
                <w:color w:val="000000"/>
              </w:rPr>
            </w:pPr>
            <w:r>
              <w:rPr>
                <w:rFonts w:ascii="Calibri" w:hAnsi="Calibri" w:cs="Calibri"/>
                <w:color w:val="000000"/>
              </w:rPr>
              <w:t>itirazın</w:t>
            </w:r>
          </w:p>
        </w:tc>
        <w:tc>
          <w:tcPr>
            <w:tcW w:w="1200" w:type="pct"/>
            <w:tcBorders>
              <w:top w:val="single" w:sz="4" w:space="0" w:color="auto"/>
              <w:left w:val="single" w:sz="4" w:space="0" w:color="auto"/>
              <w:bottom w:val="single" w:sz="4" w:space="0" w:color="auto"/>
              <w:right w:val="single" w:sz="4" w:space="0" w:color="auto"/>
            </w:tcBorders>
            <w:vAlign w:val="center"/>
            <w:hideMark/>
          </w:tcPr>
          <w:p w:rsidR="00261177" w:rsidRDefault="00261177">
            <w:pPr>
              <w:jc w:val="both"/>
              <w:rPr>
                <w:b/>
                <w:bCs/>
              </w:rPr>
            </w:pPr>
            <w:r>
              <w:rPr>
                <w:b/>
                <w:bCs/>
              </w:rPr>
              <w:t>kısmen kabulüne,</w:t>
            </w:r>
            <w:r>
              <w:t xml:space="preserve"> Emirler 102 ada 259 parselin ve 109 ada 31 nolu parselin ilgili kısmının </w:t>
            </w:r>
            <w:r>
              <w:rPr>
                <w:bCs/>
              </w:rPr>
              <w:t>ekli paraflı krokide görüldüğü şekliyle yeniden düzenlenmesine;</w:t>
            </w:r>
            <w:r>
              <w:rPr>
                <w:b/>
                <w:bCs/>
              </w:rPr>
              <w:t xml:space="preserve"> </w:t>
            </w:r>
            <w:r>
              <w:t xml:space="preserve">diğer hususların Orman Kanunu’nun 17’nci Maddesinin Üçüncü Fıkrasının Uygulanması Hakkında Yönetmelik kapsamında ilgili kamu kurumuna tahsisinin olması ve üst ölçekli planda gerekli düzenlemeler yapıldığı takdirde alt ölçekli planda da gerekli düzenlemelerin yapılabileceği anlaşıldığından </w:t>
            </w:r>
            <w:r>
              <w:rPr>
                <w:b/>
                <w:bCs/>
              </w:rPr>
              <w:t>reddine,</w:t>
            </w:r>
          </w:p>
        </w:tc>
        <w:tc>
          <w:tcPr>
            <w:tcW w:w="404" w:type="pct"/>
            <w:tcBorders>
              <w:top w:val="nil"/>
              <w:left w:val="nil"/>
              <w:bottom w:val="nil"/>
              <w:right w:val="nil"/>
            </w:tcBorders>
            <w:vAlign w:val="center"/>
            <w:hideMark/>
          </w:tcPr>
          <w:p w:rsidR="00261177" w:rsidRDefault="00261177">
            <w:pPr>
              <w:rPr>
                <w:rFonts w:eastAsiaTheme="minorEastAsia"/>
              </w:rPr>
            </w:pPr>
          </w:p>
        </w:tc>
      </w:tr>
    </w:tbl>
    <w:p w:rsidR="00261177" w:rsidRDefault="00261177" w:rsidP="00261177">
      <w:pPr>
        <w:tabs>
          <w:tab w:val="center" w:pos="2268"/>
          <w:tab w:val="center" w:pos="7513"/>
        </w:tabs>
        <w:spacing w:line="240" w:lineRule="exact"/>
        <w:jc w:val="both"/>
        <w:rPr>
          <w:sz w:val="24"/>
          <w:szCs w:val="24"/>
        </w:rPr>
      </w:pPr>
    </w:p>
    <w:p w:rsidR="00261177" w:rsidRDefault="00261177" w:rsidP="00261177">
      <w:pPr>
        <w:tabs>
          <w:tab w:val="left" w:pos="3402"/>
          <w:tab w:val="left" w:pos="3686"/>
        </w:tabs>
        <w:spacing w:after="120" w:line="240" w:lineRule="auto"/>
        <w:jc w:val="both"/>
        <w:rPr>
          <w:rFonts w:ascii="Arial" w:hAnsi="Arial" w:cs="Arial"/>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Default="00261177" w:rsidP="00261177">
      <w:pPr>
        <w:tabs>
          <w:tab w:val="left" w:pos="3402"/>
          <w:tab w:val="left" w:pos="3686"/>
        </w:tabs>
        <w:spacing w:after="120" w:line="240" w:lineRule="auto"/>
        <w:jc w:val="both"/>
        <w:rPr>
          <w:rFonts w:ascii="Arial" w:hAnsi="Arial" w:cs="Arial"/>
          <w:b/>
          <w:sz w:val="24"/>
          <w:szCs w:val="24"/>
        </w:rPr>
      </w:pPr>
    </w:p>
    <w:p w:rsidR="00261177" w:rsidRPr="00A815C6" w:rsidRDefault="00261177" w:rsidP="0026117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261177" w:rsidRPr="00A346A6" w:rsidRDefault="00261177" w:rsidP="0026117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06.05.</w:t>
      </w:r>
      <w:r w:rsidRPr="00A346A6">
        <w:rPr>
          <w:rFonts w:ascii="Arial" w:hAnsi="Arial" w:cs="Arial"/>
          <w:sz w:val="24"/>
          <w:szCs w:val="24"/>
        </w:rPr>
        <w:t>202</w:t>
      </w:r>
      <w:r>
        <w:rPr>
          <w:rFonts w:ascii="Arial" w:hAnsi="Arial" w:cs="Arial"/>
          <w:sz w:val="24"/>
          <w:szCs w:val="24"/>
        </w:rPr>
        <w:t>4</w:t>
      </w:r>
    </w:p>
    <w:p w:rsidR="00261177" w:rsidRPr="000148B2" w:rsidRDefault="00261177" w:rsidP="0026117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0148B2">
        <w:rPr>
          <w:rFonts w:ascii="Arial" w:hAnsi="Arial" w:cs="Arial"/>
          <w:sz w:val="24"/>
          <w:szCs w:val="24"/>
        </w:rPr>
        <w:t>1</w:t>
      </w:r>
      <w:r>
        <w:rPr>
          <w:rFonts w:ascii="Arial" w:hAnsi="Arial" w:cs="Arial"/>
          <w:sz w:val="24"/>
          <w:szCs w:val="24"/>
        </w:rPr>
        <w:t>3</w:t>
      </w:r>
    </w:p>
    <w:p w:rsidR="00261177" w:rsidRPr="00A346A6" w:rsidRDefault="00261177" w:rsidP="00261177">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06.04.</w:t>
      </w:r>
      <w:r w:rsidRPr="00A346A6">
        <w:rPr>
          <w:rFonts w:ascii="Arial" w:hAnsi="Arial" w:cs="Arial"/>
          <w:sz w:val="24"/>
          <w:szCs w:val="24"/>
        </w:rPr>
        <w:t>202</w:t>
      </w:r>
      <w:r>
        <w:rPr>
          <w:rFonts w:ascii="Arial" w:hAnsi="Arial" w:cs="Arial"/>
          <w:sz w:val="24"/>
          <w:szCs w:val="24"/>
        </w:rPr>
        <w:t>4</w:t>
      </w:r>
    </w:p>
    <w:p w:rsidR="00261177" w:rsidRPr="00692CB8" w:rsidRDefault="00261177" w:rsidP="00261177">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7</w:t>
      </w:r>
      <w:r w:rsidR="005D535B">
        <w:rPr>
          <w:rFonts w:ascii="Arial" w:hAnsi="Arial" w:cs="Arial"/>
          <w:sz w:val="24"/>
          <w:szCs w:val="24"/>
        </w:rPr>
        <w:t>3</w:t>
      </w:r>
    </w:p>
    <w:p w:rsidR="00261177" w:rsidRDefault="00261177" w:rsidP="00261177">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sidRPr="00DB74B8">
        <w:rPr>
          <w:sz w:val="24"/>
          <w:szCs w:val="24"/>
        </w:rPr>
        <w:t>,</w:t>
      </w:r>
      <w:r>
        <w:rPr>
          <w:sz w:val="24"/>
          <w:szCs w:val="24"/>
        </w:rPr>
        <w:t xml:space="preserve"> Enerji ve Ekoloji Komisyonu, Hukuk ve </w:t>
      </w:r>
      <w:r>
        <w:rPr>
          <w:sz w:val="24"/>
          <w:szCs w:val="24"/>
        </w:rPr>
        <w:tab/>
      </w:r>
      <w:r>
        <w:rPr>
          <w:sz w:val="24"/>
          <w:szCs w:val="24"/>
        </w:rPr>
        <w:tab/>
      </w:r>
      <w:r>
        <w:rPr>
          <w:sz w:val="24"/>
          <w:szCs w:val="24"/>
        </w:rPr>
        <w:tab/>
        <w:t>Temel Haklar Komisyonu</w:t>
      </w:r>
      <w:r>
        <w:rPr>
          <w:rFonts w:ascii="Arial" w:hAnsi="Arial" w:cs="Arial"/>
        </w:rPr>
        <w:tab/>
      </w:r>
    </w:p>
    <w:p w:rsidR="00261177" w:rsidRDefault="00261177" w:rsidP="00261177">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261177" w:rsidRDefault="00261177" w:rsidP="00261177">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261177" w:rsidRPr="0015558A" w:rsidRDefault="00261177" w:rsidP="00261177">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Pr="0015558A">
        <w:rPr>
          <w:rFonts w:ascii="Arial" w:hAnsi="Arial" w:cs="Arial"/>
          <w:b/>
        </w:rPr>
        <w:t xml:space="preserve">Hukuk ve Temel Haklar Komisyonu: </w:t>
      </w:r>
      <w:r>
        <w:rPr>
          <w:rFonts w:ascii="Arial" w:hAnsi="Arial" w:cs="Arial"/>
          <w:b/>
        </w:rPr>
        <w:t xml:space="preserve"> </w:t>
      </w:r>
      <w:r w:rsidRPr="0015558A">
        <w:rPr>
          <w:rFonts w:ascii="Arial" w:hAnsi="Arial" w:cs="Arial"/>
        </w:rPr>
        <w:t xml:space="preserve">İbrahim CİNBAŞ </w:t>
      </w:r>
      <w:r>
        <w:rPr>
          <w:rFonts w:ascii="Arial" w:hAnsi="Arial" w:cs="Arial"/>
        </w:rPr>
        <w:tab/>
      </w:r>
      <w:r>
        <w:rPr>
          <w:rFonts w:ascii="Arial" w:hAnsi="Arial" w:cs="Arial"/>
        </w:rPr>
        <w:tab/>
      </w:r>
      <w:r w:rsidRPr="0015558A">
        <w:rPr>
          <w:rFonts w:ascii="Arial" w:hAnsi="Arial" w:cs="Arial"/>
        </w:rPr>
        <w:t xml:space="preserve">(Kom. Başk), Nazlı Hilbin DOĞAN (Kom. Başk. V.), Cevdet </w:t>
      </w:r>
      <w:r>
        <w:rPr>
          <w:rFonts w:ascii="Arial" w:hAnsi="Arial" w:cs="Arial"/>
        </w:rPr>
        <w:tab/>
      </w:r>
      <w:r>
        <w:rPr>
          <w:rFonts w:ascii="Arial" w:hAnsi="Arial" w:cs="Arial"/>
        </w:rPr>
        <w:tab/>
      </w:r>
      <w:r w:rsidRPr="0015558A">
        <w:rPr>
          <w:rFonts w:ascii="Arial" w:hAnsi="Arial" w:cs="Arial"/>
        </w:rPr>
        <w:t>YILMAZ, Umut AKYÜZ, Selim Raci DİBO</w:t>
      </w:r>
    </w:p>
    <w:p w:rsidR="00261177" w:rsidRDefault="00261177" w:rsidP="00261177">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30.04.</w:t>
      </w:r>
      <w:r w:rsidRPr="00B0181B">
        <w:rPr>
          <w:sz w:val="24"/>
          <w:szCs w:val="24"/>
        </w:rPr>
        <w:t>202</w:t>
      </w:r>
      <w:r>
        <w:rPr>
          <w:sz w:val="24"/>
          <w:szCs w:val="24"/>
        </w:rPr>
        <w:t>4</w:t>
      </w:r>
    </w:p>
    <w:p w:rsidR="005D535B" w:rsidRPr="005D535B" w:rsidRDefault="00261177" w:rsidP="005D535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5D535B" w:rsidRPr="005D535B">
        <w:rPr>
          <w:rFonts w:ascii="Arial" w:hAnsi="Arial" w:cs="Arial"/>
          <w:sz w:val="24"/>
          <w:szCs w:val="24"/>
        </w:rPr>
        <w:t>İdaremiz tarafından hazırlanan Mersin İli, Yenişehir İlçesi, Yenişehir 5. Etap Kocavilayet 2. Bölge 1/1000 Ölçekli İlave Uygulama İmar Planı, Yenişehir Belediye Meclisinin 06.11.2023 tarih ve 190 (UİP¬-331034269) sayılı meclis kararı; Mersin Büyükşehir Belediye Meclisinin 11.12.2023 tarih ve 654 sayılı meclis kararı ile tadilen onaylanarak 3194 sayılı İmar Kanununun 8. Maddesi (b) bendi gereğince 09.01.2024-07.02.2024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7 (yedi) adet itiraz olmuştur.</w:t>
      </w:r>
    </w:p>
    <w:p w:rsidR="005D535B" w:rsidRDefault="005D535B" w:rsidP="005D535B">
      <w:pPr>
        <w:tabs>
          <w:tab w:val="left" w:pos="3402"/>
          <w:tab w:val="left" w:pos="3686"/>
        </w:tabs>
        <w:spacing w:after="120" w:line="240" w:lineRule="auto"/>
        <w:jc w:val="both"/>
        <w:rPr>
          <w:rFonts w:ascii="Arial" w:hAnsi="Arial" w:cs="Arial"/>
          <w:sz w:val="24"/>
          <w:szCs w:val="24"/>
        </w:rPr>
      </w:pPr>
      <w:r w:rsidRPr="005D535B">
        <w:rPr>
          <w:rFonts w:ascii="Arial" w:hAnsi="Arial" w:cs="Arial"/>
          <w:sz w:val="24"/>
          <w:szCs w:val="24"/>
        </w:rPr>
        <w:t>Teklifin komisyonlarımız tarafından incelenmesi neticesinde; Yenişehir 5. Etap Kocavilayet 2. Bölge 1/1000 Ölçekli İlave Uygulama İmar Planı’na gelen 7 (yedi) adet itirazların aşağıdaki şekliyle değerlendirilmesinin kabulüne komisyonlarımız tarafından oy birliği ile karar verildi.</w:t>
      </w: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5D535B" w:rsidRDefault="005D535B" w:rsidP="005D535B">
      <w:pPr>
        <w:tabs>
          <w:tab w:val="left" w:pos="3402"/>
          <w:tab w:val="left" w:pos="3686"/>
        </w:tabs>
        <w:spacing w:after="120" w:line="240" w:lineRule="auto"/>
        <w:jc w:val="both"/>
        <w:rPr>
          <w:rFonts w:ascii="Arial" w:hAnsi="Arial" w:cs="Arial"/>
          <w:sz w:val="24"/>
          <w:szCs w:val="24"/>
        </w:rPr>
      </w:pPr>
    </w:p>
    <w:p w:rsidR="00F57D62" w:rsidRDefault="00F57D62" w:rsidP="005D535B">
      <w:pPr>
        <w:tabs>
          <w:tab w:val="left" w:pos="3402"/>
          <w:tab w:val="left" w:pos="3686"/>
        </w:tabs>
        <w:spacing w:after="120" w:line="240" w:lineRule="auto"/>
        <w:jc w:val="both"/>
        <w:rPr>
          <w:rFonts w:ascii="Arial" w:hAnsi="Arial" w:cs="Arial"/>
          <w:sz w:val="24"/>
          <w:szCs w:val="24"/>
        </w:rPr>
      </w:pPr>
    </w:p>
    <w:tbl>
      <w:tblPr>
        <w:tblW w:w="9690"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2"/>
        <w:gridCol w:w="1143"/>
        <w:gridCol w:w="851"/>
        <w:gridCol w:w="141"/>
        <w:gridCol w:w="1137"/>
        <w:gridCol w:w="138"/>
        <w:gridCol w:w="668"/>
        <w:gridCol w:w="44"/>
        <w:gridCol w:w="523"/>
        <w:gridCol w:w="757"/>
        <w:gridCol w:w="991"/>
        <w:gridCol w:w="2708"/>
        <w:gridCol w:w="7"/>
      </w:tblGrid>
      <w:tr w:rsidR="00F57D62" w:rsidTr="00F57D62">
        <w:trPr>
          <w:trHeight w:val="492"/>
          <w:jc w:val="center"/>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lastRenderedPageBreak/>
              <w:t>Sıra No</w:t>
            </w:r>
          </w:p>
        </w:tc>
        <w:tc>
          <w:tcPr>
            <w:tcW w:w="199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Dilekçe</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rPr>
              <w:t>Dilekçe Sahibi</w:t>
            </w:r>
          </w:p>
        </w:tc>
        <w:tc>
          <w:tcPr>
            <w:tcW w:w="2130" w:type="dxa"/>
            <w:gridSpan w:val="5"/>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İtiraza Konu Alan</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F57D62" w:rsidRDefault="00F57D62">
            <w:pPr>
              <w:rPr>
                <w:rFonts w:eastAsiaTheme="minorEastAsia"/>
              </w:rPr>
            </w:pPr>
          </w:p>
        </w:tc>
        <w:tc>
          <w:tcPr>
            <w:tcW w:w="271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Değerlendirme</w:t>
            </w:r>
          </w:p>
        </w:tc>
      </w:tr>
      <w:tr w:rsidR="00F57D62" w:rsidTr="00F57D62">
        <w:trPr>
          <w:trHeight w:val="384"/>
          <w:jc w:val="center"/>
        </w:trPr>
        <w:tc>
          <w:tcPr>
            <w:tcW w:w="581" w:type="dxa"/>
            <w:vMerge/>
            <w:tcBorders>
              <w:top w:val="single" w:sz="4" w:space="0" w:color="auto"/>
              <w:left w:val="single" w:sz="4" w:space="0" w:color="auto"/>
              <w:bottom w:val="single" w:sz="4" w:space="0" w:color="auto"/>
              <w:right w:val="single" w:sz="4" w:space="0" w:color="auto"/>
            </w:tcBorders>
            <w:vAlign w:val="center"/>
            <w:hideMark/>
          </w:tcPr>
          <w:p w:rsidR="00F57D62" w:rsidRDefault="00F57D62">
            <w:pPr>
              <w:rPr>
                <w:b/>
                <w:bCs/>
                <w:color w:val="000000"/>
              </w:rPr>
            </w:pP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Tarihi</w:t>
            </w:r>
          </w:p>
        </w:tc>
        <w:tc>
          <w:tcPr>
            <w:tcW w:w="85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Sayısı</w:t>
            </w:r>
          </w:p>
        </w:tc>
        <w:tc>
          <w:tcPr>
            <w:tcW w:w="2553" w:type="dxa"/>
            <w:gridSpan w:val="2"/>
            <w:vMerge/>
            <w:tcBorders>
              <w:top w:val="single" w:sz="4" w:space="0" w:color="auto"/>
              <w:left w:val="single" w:sz="4" w:space="0" w:color="auto"/>
              <w:bottom w:val="single" w:sz="4" w:space="0" w:color="auto"/>
              <w:right w:val="single" w:sz="4" w:space="0" w:color="auto"/>
            </w:tcBorders>
            <w:vAlign w:val="center"/>
            <w:hideMark/>
          </w:tcPr>
          <w:p w:rsidR="00F57D62" w:rsidRDefault="00F57D62">
            <w:pPr>
              <w:rPr>
                <w:b/>
                <w:bCs/>
                <w:color w:val="000000"/>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Mahalle</w:t>
            </w:r>
          </w:p>
        </w:tc>
        <w:tc>
          <w:tcPr>
            <w:tcW w:w="52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Ada</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Parsel</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57D62" w:rsidRDefault="00F57D62">
            <w:pPr>
              <w:rPr>
                <w:rFonts w:eastAsiaTheme="minorEastAsia"/>
              </w:rPr>
            </w:pPr>
          </w:p>
        </w:tc>
        <w:tc>
          <w:tcPr>
            <w:tcW w:w="2858" w:type="dxa"/>
            <w:gridSpan w:val="2"/>
            <w:vMerge/>
            <w:tcBorders>
              <w:top w:val="single" w:sz="4" w:space="0" w:color="auto"/>
              <w:left w:val="single" w:sz="4" w:space="0" w:color="auto"/>
              <w:bottom w:val="single" w:sz="4" w:space="0" w:color="auto"/>
              <w:right w:val="single" w:sz="4" w:space="0" w:color="auto"/>
            </w:tcBorders>
            <w:vAlign w:val="center"/>
            <w:hideMark/>
          </w:tcPr>
          <w:p w:rsidR="00F57D62" w:rsidRDefault="00F57D62">
            <w:pPr>
              <w:rPr>
                <w:b/>
                <w:bCs/>
                <w:color w:val="000000"/>
              </w:rPr>
            </w:pPr>
          </w:p>
        </w:tc>
      </w:tr>
      <w:tr w:rsidR="00F57D62" w:rsidTr="00F57D62">
        <w:trPr>
          <w:trHeight w:val="1209"/>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1</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17.01.2024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7D62" w:rsidRDefault="00F57D62">
            <w:pPr>
              <w:jc w:val="center"/>
              <w:rPr>
                <w:color w:val="000000"/>
              </w:rPr>
            </w:pPr>
            <w:r>
              <w:rPr>
                <w:color w:val="000000"/>
              </w:rPr>
              <w:t>2434</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Emirler</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57D62" w:rsidRDefault="00F57D62">
            <w:pPr>
              <w:jc w:val="center"/>
              <w:rPr>
                <w:rFonts w:ascii="Times New Roman" w:eastAsia="Times New Roman" w:hAnsi="Times New Roman" w:cs="Times New Roman"/>
                <w:color w:val="000000"/>
                <w:sz w:val="20"/>
                <w:szCs w:val="20"/>
              </w:rPr>
            </w:pPr>
          </w:p>
          <w:p w:rsidR="00F57D62" w:rsidRDefault="00F57D62">
            <w:pPr>
              <w:jc w:val="center"/>
              <w:rPr>
                <w:color w:val="000000"/>
              </w:rPr>
            </w:pPr>
            <w:r>
              <w:rPr>
                <w:color w:val="000000"/>
              </w:rPr>
              <w:t>123</w:t>
            </w:r>
          </w:p>
        </w:tc>
        <w:tc>
          <w:tcPr>
            <w:tcW w:w="757" w:type="dxa"/>
            <w:tcBorders>
              <w:top w:val="single" w:sz="4" w:space="0" w:color="auto"/>
              <w:left w:val="single" w:sz="4" w:space="0" w:color="auto"/>
              <w:bottom w:val="single" w:sz="4" w:space="0" w:color="auto"/>
              <w:right w:val="single" w:sz="4" w:space="0" w:color="auto"/>
            </w:tcBorders>
            <w:vAlign w:val="center"/>
          </w:tcPr>
          <w:p w:rsidR="00F57D62" w:rsidRDefault="00F57D62">
            <w:pPr>
              <w:jc w:val="center"/>
              <w:rPr>
                <w:rFonts w:ascii="Times New Roman" w:eastAsia="Times New Roman" w:hAnsi="Times New Roman" w:cs="Times New Roman"/>
                <w:color w:val="000000"/>
                <w:sz w:val="20"/>
                <w:szCs w:val="20"/>
              </w:rPr>
            </w:pPr>
          </w:p>
          <w:p w:rsidR="00F57D62" w:rsidRDefault="00F57D62">
            <w:pPr>
              <w:jc w:val="center"/>
              <w:rPr>
                <w:color w:val="000000"/>
              </w:rPr>
            </w:pPr>
            <w:r>
              <w:rPr>
                <w:color w:val="000000"/>
              </w:rPr>
              <w:t>8</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color w:val="000000"/>
              </w:rPr>
              <w:t xml:space="preserve">3194 sayılı İmar Kanunu'nun 18. maddesine göre yapılacak imar uygulaması ile çözümlenecek bir konu olması nedeniyle </w:t>
            </w:r>
            <w:r>
              <w:rPr>
                <w:b/>
                <w:bCs/>
                <w:color w:val="000000"/>
              </w:rPr>
              <w:t>reddine,</w:t>
            </w:r>
          </w:p>
        </w:tc>
      </w:tr>
      <w:tr w:rsidR="00F57D62" w:rsidTr="00F57D62">
        <w:trPr>
          <w:trHeight w:val="1155"/>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2</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18.01.2024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4670844</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Adana Kültür Varlıklarını Koruma Bölge Kurulu Müdürlüğü</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bCs/>
              </w:rPr>
              <w:t xml:space="preserve">Revizyon planın kurum görüşü doğrultusunda hazırlandığı anlaşıldığından </w:t>
            </w:r>
            <w:r>
              <w:rPr>
                <w:b/>
                <w:bCs/>
              </w:rPr>
              <w:t>reddine,</w:t>
            </w:r>
          </w:p>
        </w:tc>
      </w:tr>
      <w:tr w:rsidR="00F57D62" w:rsidTr="00F57D62">
        <w:trPr>
          <w:trHeight w:val="1155"/>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3.1</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18.01.2024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7D62" w:rsidRDefault="00F57D62">
            <w:pPr>
              <w:jc w:val="center"/>
              <w:rPr>
                <w:color w:val="000000"/>
              </w:rPr>
            </w:pPr>
            <w:r>
              <w:rPr>
                <w:color w:val="000000"/>
              </w:rPr>
              <w:t>110101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Yenişehir Belediyesi İmar ve Şehircilik Müdürlüğü</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1324" w:type="dxa"/>
            <w:gridSpan w:val="3"/>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A maddesi</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pPr>
            <w:r>
              <w:rPr>
                <w:bCs/>
              </w:rPr>
              <w:t>Plan Notunun B.2.2. Maddesinin “</w:t>
            </w:r>
            <w:r>
              <w:t>Ticaret-konut alanlarında, konut kullanım oranı, emsale esas toplam inşaat alanının %80’i aşamaz. Bu oran ticaret lehine artabilir. Yüzölçümü 5000 m</w:t>
            </w:r>
            <w:r>
              <w:rPr>
                <w:vertAlign w:val="superscript"/>
              </w:rPr>
              <w:t>2</w:t>
            </w:r>
            <w:r>
              <w:t xml:space="preserve">’den küçük parsellerde, ticaret ve konut yapılarının birlikte yapılması durumunda; zemin kat ticaret olarak kullanılmak kaydıyla, 1. Kattan itibaren konut yapılır.” şeklinde düzenlenmesinin </w:t>
            </w:r>
            <w:r>
              <w:rPr>
                <w:b/>
              </w:rPr>
              <w:t>kabulüne,</w:t>
            </w:r>
          </w:p>
        </w:tc>
      </w:tr>
      <w:tr w:rsidR="00F57D62" w:rsidTr="00F57D62">
        <w:trPr>
          <w:trHeight w:val="1155"/>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3.2</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18.01.2024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7D62" w:rsidRDefault="00F57D62">
            <w:pPr>
              <w:jc w:val="center"/>
              <w:rPr>
                <w:color w:val="000000"/>
              </w:rPr>
            </w:pPr>
            <w:r>
              <w:rPr>
                <w:color w:val="000000"/>
              </w:rPr>
              <w:t>110101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Yenişehir Belediyesi İmar ve Şehircilik Müdürlüğü</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1324" w:type="dxa"/>
            <w:gridSpan w:val="3"/>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B maddesi</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bCs/>
              </w:rPr>
            </w:pPr>
            <w:r>
              <w:rPr>
                <w:bCs/>
              </w:rPr>
              <w:t xml:space="preserve">Arazi kullanım kararları doğrultusunda plan açıklama raporunun düzeltilmesinin </w:t>
            </w:r>
            <w:r>
              <w:rPr>
                <w:b/>
                <w:bCs/>
              </w:rPr>
              <w:t>kabulüne,</w:t>
            </w:r>
          </w:p>
        </w:tc>
      </w:tr>
      <w:tr w:rsidR="00F57D62" w:rsidTr="00F57D62">
        <w:trPr>
          <w:trHeight w:val="1155"/>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4</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24.01.2024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F57D62" w:rsidRDefault="00F57D62">
            <w:pPr>
              <w:jc w:val="center"/>
              <w:rPr>
                <w:color w:val="000000"/>
              </w:rPr>
            </w:pPr>
            <w:r>
              <w:rPr>
                <w:color w:val="000000"/>
              </w:rPr>
              <w:t>3639</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806"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Emirler</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110</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16</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14"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color w:val="000000"/>
              </w:rPr>
              <w:t xml:space="preserve">3194 sayılı İmar Kanunu'nun 18. maddesine göre yapılacak imar uygulaması ile çözümlenecek bir konu </w:t>
            </w:r>
            <w:r>
              <w:rPr>
                <w:color w:val="000000"/>
              </w:rPr>
              <w:lastRenderedPageBreak/>
              <w:t xml:space="preserve">olması nedeniyle </w:t>
            </w:r>
            <w:r>
              <w:rPr>
                <w:b/>
                <w:bCs/>
                <w:color w:val="000000"/>
              </w:rPr>
              <w:t>reddine,</w:t>
            </w:r>
          </w:p>
        </w:tc>
      </w:tr>
      <w:tr w:rsidR="00F57D62" w:rsidTr="00F57D62">
        <w:trPr>
          <w:gridAfter w:val="1"/>
          <w:wAfter w:w="7" w:type="dxa"/>
          <w:trHeight w:val="1310"/>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lastRenderedPageBreak/>
              <w:t>5</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02.02.2024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263504</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Mersin Su ve Kanalizasyon İdaresi Genel Müdürlüğü</w:t>
            </w:r>
          </w:p>
        </w:tc>
        <w:tc>
          <w:tcPr>
            <w:tcW w:w="668"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0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color w:val="000000"/>
              </w:rPr>
              <w:t xml:space="preserve">Nazım plan kararlarına uygun olarak çizilen planın, ana kararlarının bütünlüğüne ve öngörülen ulaşım sistemine uygun olmadığı anlaşıldığından </w:t>
            </w:r>
            <w:r>
              <w:rPr>
                <w:b/>
                <w:color w:val="000000"/>
              </w:rPr>
              <w:t>reddine,</w:t>
            </w:r>
          </w:p>
        </w:tc>
      </w:tr>
      <w:tr w:rsidR="00F57D62" w:rsidTr="00F57D62">
        <w:trPr>
          <w:gridAfter w:val="1"/>
          <w:wAfter w:w="7" w:type="dxa"/>
          <w:trHeight w:val="749"/>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6</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04.02.2024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95770676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Mersin İl Milli Eğitim Müdürlüğü</w:t>
            </w:r>
          </w:p>
        </w:tc>
        <w:tc>
          <w:tcPr>
            <w:tcW w:w="668"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0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color w:val="000000"/>
              </w:rPr>
              <w:t xml:space="preserve">3194 sayılı İmar Kanunu'nun 18. maddesine göre yapılacak imar uygulaması ile değerlendirilecek bir konu olması nedeniyle </w:t>
            </w:r>
            <w:r>
              <w:rPr>
                <w:b/>
                <w:color w:val="000000"/>
              </w:rPr>
              <w:t>reddine,</w:t>
            </w:r>
          </w:p>
        </w:tc>
      </w:tr>
      <w:tr w:rsidR="00F57D62" w:rsidTr="00F57D62">
        <w:trPr>
          <w:gridAfter w:val="1"/>
          <w:wAfter w:w="7" w:type="dxa"/>
          <w:trHeight w:val="749"/>
          <w:jc w:val="center"/>
        </w:trPr>
        <w:tc>
          <w:tcPr>
            <w:tcW w:w="58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b/>
                <w:bCs/>
                <w:color w:val="000000"/>
              </w:rPr>
            </w:pPr>
            <w:r>
              <w:rPr>
                <w:b/>
                <w:bCs/>
                <w:color w:val="000000"/>
              </w:rPr>
              <w:t>7</w:t>
            </w:r>
          </w:p>
        </w:tc>
        <w:tc>
          <w:tcPr>
            <w:tcW w:w="1143"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07.02.2024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10918596</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rPr>
                <w:color w:val="000000"/>
              </w:rPr>
            </w:pPr>
            <w:r>
              <w:rPr>
                <w:color w:val="000000"/>
              </w:rPr>
              <w:t>Mersin Orman Bölge Müdürlüğü</w:t>
            </w:r>
          </w:p>
        </w:tc>
        <w:tc>
          <w:tcPr>
            <w:tcW w:w="668"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75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w:t>
            </w:r>
          </w:p>
        </w:tc>
        <w:tc>
          <w:tcPr>
            <w:tcW w:w="991"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center"/>
              <w:rPr>
                <w:color w:val="000000"/>
              </w:rPr>
            </w:pPr>
            <w:r>
              <w:rPr>
                <w:color w:val="000000"/>
              </w:rPr>
              <w:t>itirazın</w:t>
            </w:r>
          </w:p>
        </w:tc>
        <w:tc>
          <w:tcPr>
            <w:tcW w:w="2707" w:type="dxa"/>
            <w:tcBorders>
              <w:top w:val="single" w:sz="4" w:space="0" w:color="auto"/>
              <w:left w:val="single" w:sz="4" w:space="0" w:color="auto"/>
              <w:bottom w:val="single" w:sz="4" w:space="0" w:color="auto"/>
              <w:right w:val="single" w:sz="4" w:space="0" w:color="auto"/>
            </w:tcBorders>
            <w:vAlign w:val="center"/>
            <w:hideMark/>
          </w:tcPr>
          <w:p w:rsidR="00F57D62" w:rsidRDefault="00F57D62">
            <w:pPr>
              <w:jc w:val="both"/>
              <w:rPr>
                <w:color w:val="000000"/>
              </w:rPr>
            </w:pPr>
            <w:r>
              <w:rPr>
                <w:b/>
              </w:rPr>
              <w:t>Kısmen kabulüne,</w:t>
            </w:r>
            <w:r>
              <w:t xml:space="preserve"> ekli paraflı krokide görüldüğü şekliyle yeniden düzenleme yapılmasına; diğer hususların Orman Kanunu’nun 17’nci Maddesinin üçüncü fıkrasının Uygulanması Hakkında Yönetmelik kapsamında ilgili kamu kurumuna tahsis yapılabileceği ve üst ölçekli planda gerekli düzenlemeler yapıldığı takdirde alt ölçekli planda da gerekli düzenlemelerin yapılabileceği anlaşıldığından </w:t>
            </w:r>
            <w:r>
              <w:rPr>
                <w:b/>
              </w:rPr>
              <w:t>reddine,</w:t>
            </w:r>
          </w:p>
        </w:tc>
      </w:tr>
    </w:tbl>
    <w:p w:rsidR="00F57D62" w:rsidRDefault="00F57D62" w:rsidP="005D535B">
      <w:pPr>
        <w:tabs>
          <w:tab w:val="left" w:pos="3402"/>
          <w:tab w:val="left" w:pos="3686"/>
        </w:tabs>
        <w:spacing w:after="120" w:line="240" w:lineRule="auto"/>
        <w:jc w:val="both"/>
        <w:rPr>
          <w:rFonts w:ascii="Arial" w:hAnsi="Arial" w:cs="Arial"/>
          <w:sz w:val="24"/>
          <w:szCs w:val="24"/>
        </w:rPr>
      </w:pPr>
    </w:p>
    <w:p w:rsidR="005D535B" w:rsidRPr="005D535B" w:rsidRDefault="005D535B" w:rsidP="005D535B">
      <w:pPr>
        <w:tabs>
          <w:tab w:val="left" w:pos="3402"/>
          <w:tab w:val="left" w:pos="3686"/>
        </w:tabs>
        <w:spacing w:after="120" w:line="240" w:lineRule="auto"/>
        <w:jc w:val="both"/>
        <w:rPr>
          <w:rFonts w:ascii="Arial" w:hAnsi="Arial" w:cs="Arial"/>
          <w:sz w:val="24"/>
          <w:szCs w:val="24"/>
        </w:rPr>
      </w:pPr>
      <w:r w:rsidRPr="005D535B">
        <w:rPr>
          <w:rFonts w:ascii="Arial" w:hAnsi="Arial" w:cs="Arial"/>
          <w:sz w:val="24"/>
          <w:szCs w:val="24"/>
        </w:rPr>
        <w:t xml:space="preserve"> </w:t>
      </w:r>
    </w:p>
    <w:p w:rsidR="00261177" w:rsidRDefault="00261177" w:rsidP="00261177">
      <w:pPr>
        <w:tabs>
          <w:tab w:val="left" w:pos="3402"/>
          <w:tab w:val="left" w:pos="3686"/>
        </w:tabs>
        <w:spacing w:after="120" w:line="240" w:lineRule="auto"/>
        <w:jc w:val="both"/>
        <w:rPr>
          <w:rFonts w:ascii="Arial" w:hAnsi="Arial" w:cs="Arial"/>
          <w:b/>
          <w:sz w:val="24"/>
          <w:szCs w:val="24"/>
        </w:rPr>
      </w:pPr>
    </w:p>
    <w:sectPr w:rsidR="00261177"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963" w:rsidRDefault="00223963" w:rsidP="00C30551">
      <w:pPr>
        <w:spacing w:after="0" w:line="240" w:lineRule="auto"/>
      </w:pPr>
      <w:r>
        <w:separator/>
      </w:r>
    </w:p>
  </w:endnote>
  <w:endnote w:type="continuationSeparator" w:id="1">
    <w:p w:rsidR="00223963" w:rsidRDefault="0022396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963" w:rsidRDefault="00223963" w:rsidP="00C30551">
      <w:pPr>
        <w:spacing w:after="0" w:line="240" w:lineRule="auto"/>
      </w:pPr>
      <w:r>
        <w:separator/>
      </w:r>
    </w:p>
  </w:footnote>
  <w:footnote w:type="continuationSeparator" w:id="1">
    <w:p w:rsidR="00223963" w:rsidRDefault="0022396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FC6F8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05250"/>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4987"/>
    <w:rsid w:val="000E4D5C"/>
    <w:rsid w:val="000E5ED2"/>
    <w:rsid w:val="000E5F31"/>
    <w:rsid w:val="000E66FB"/>
    <w:rsid w:val="000E6B34"/>
    <w:rsid w:val="000E7A91"/>
    <w:rsid w:val="000F0830"/>
    <w:rsid w:val="000F11EC"/>
    <w:rsid w:val="000F13D4"/>
    <w:rsid w:val="000F2657"/>
    <w:rsid w:val="000F514D"/>
    <w:rsid w:val="000F58D0"/>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3963"/>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5A1"/>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4EE1"/>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71D"/>
    <w:rsid w:val="00641D5A"/>
    <w:rsid w:val="006420EA"/>
    <w:rsid w:val="00642E3A"/>
    <w:rsid w:val="00644501"/>
    <w:rsid w:val="006448F9"/>
    <w:rsid w:val="006451A6"/>
    <w:rsid w:val="006451D5"/>
    <w:rsid w:val="00646257"/>
    <w:rsid w:val="00646C54"/>
    <w:rsid w:val="00647358"/>
    <w:rsid w:val="0065005D"/>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26D3"/>
    <w:rsid w:val="00745D49"/>
    <w:rsid w:val="00746C47"/>
    <w:rsid w:val="00747D67"/>
    <w:rsid w:val="00747D83"/>
    <w:rsid w:val="00747E05"/>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5C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AA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B4C"/>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64A"/>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E76E7"/>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45BF"/>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57D62"/>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052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22</Pages>
  <Words>3767</Words>
  <Characters>21474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195</cp:revision>
  <cp:lastPrinted>2022-12-27T08:13:00Z</cp:lastPrinted>
  <dcterms:created xsi:type="dcterms:W3CDTF">2024-03-28T06:19:00Z</dcterms:created>
  <dcterms:modified xsi:type="dcterms:W3CDTF">2024-06-25T11:37:00Z</dcterms:modified>
</cp:coreProperties>
</file>