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045" w:rsidRPr="00611D16" w:rsidRDefault="00B80045" w:rsidP="00B80045">
      <w:pPr>
        <w:pStyle w:val="KonuBal"/>
        <w:jc w:val="center"/>
        <w:rPr>
          <w:rFonts w:ascii="Times New Roman" w:hAnsi="Times New Roman" w:cs="Times New Roman"/>
          <w:szCs w:val="24"/>
        </w:rPr>
      </w:pPr>
      <w:r w:rsidRPr="00611D16">
        <w:rPr>
          <w:rFonts w:ascii="Times New Roman" w:hAnsi="Times New Roman" w:cs="Times New Roman"/>
          <w:szCs w:val="24"/>
        </w:rPr>
        <w:t>YENİŞEHİR BELEDİYE BAŞKANLIĞINDAN</w:t>
      </w:r>
    </w:p>
    <w:p w:rsidR="00B80045" w:rsidRPr="00611D16" w:rsidRDefault="00B80045" w:rsidP="00B80045">
      <w:pPr>
        <w:pStyle w:val="GvdeMetniGirintisi"/>
        <w:tabs>
          <w:tab w:val="right" w:pos="9638"/>
        </w:tabs>
        <w:rPr>
          <w:rFonts w:ascii="Times New Roman" w:hAnsi="Times New Roman"/>
          <w:szCs w:val="24"/>
        </w:rPr>
      </w:pPr>
      <w:r w:rsidRPr="00611D16">
        <w:rPr>
          <w:rFonts w:ascii="Times New Roman" w:hAnsi="Times New Roman"/>
          <w:szCs w:val="24"/>
        </w:rPr>
        <w:t>Belediye Meclisimiz ekli gündemi görüşmek üzere 5393 Sayılı Belediye Kanununun 20. maddesine göre 0</w:t>
      </w:r>
      <w:r w:rsidR="00611D16">
        <w:rPr>
          <w:rFonts w:ascii="Times New Roman" w:hAnsi="Times New Roman"/>
          <w:szCs w:val="24"/>
        </w:rPr>
        <w:t>8.11.2024 Cuma günü saat 16</w:t>
      </w:r>
      <w:r w:rsidRPr="00611D16">
        <w:rPr>
          <w:rFonts w:ascii="Times New Roman" w:hAnsi="Times New Roman"/>
          <w:szCs w:val="24"/>
        </w:rPr>
        <w:t>.00’de</w:t>
      </w:r>
      <w:r w:rsidRPr="00611D16">
        <w:rPr>
          <w:rFonts w:ascii="Times New Roman" w:hAnsi="Times New Roman"/>
          <w:b/>
          <w:szCs w:val="24"/>
        </w:rPr>
        <w:t xml:space="preserve"> </w:t>
      </w:r>
      <w:r w:rsidRPr="00611D16">
        <w:rPr>
          <w:rFonts w:ascii="Times New Roman" w:hAnsi="Times New Roman"/>
          <w:szCs w:val="24"/>
        </w:rPr>
        <w:t xml:space="preserve">Atatürk Kültür Merkezi </w:t>
      </w:r>
      <w:r w:rsidR="00611D16">
        <w:rPr>
          <w:rFonts w:ascii="Times New Roman" w:hAnsi="Times New Roman"/>
          <w:szCs w:val="24"/>
        </w:rPr>
        <w:t>Barış</w:t>
      </w:r>
      <w:r w:rsidRPr="00611D16">
        <w:rPr>
          <w:rFonts w:ascii="Times New Roman" w:hAnsi="Times New Roman"/>
          <w:szCs w:val="24"/>
        </w:rPr>
        <w:t xml:space="preserve"> Salonunda toplanacaktır. Duyurulur. </w:t>
      </w:r>
    </w:p>
    <w:p w:rsidR="00B80045" w:rsidRPr="00611D16" w:rsidRDefault="00B80045" w:rsidP="00B80045">
      <w:pPr>
        <w:rPr>
          <w:sz w:val="24"/>
          <w:szCs w:val="24"/>
        </w:rPr>
      </w:pPr>
    </w:p>
    <w:p w:rsidR="00B80045" w:rsidRPr="00611D16" w:rsidRDefault="00B80045" w:rsidP="00B80045">
      <w:pPr>
        <w:pStyle w:val="GvdeMetniGirintisi"/>
        <w:tabs>
          <w:tab w:val="left" w:pos="3402"/>
        </w:tabs>
        <w:ind w:firstLine="0"/>
        <w:rPr>
          <w:rFonts w:ascii="Times New Roman" w:hAnsi="Times New Roman"/>
          <w:b/>
          <w:szCs w:val="24"/>
          <w:u w:val="single"/>
        </w:rPr>
      </w:pPr>
    </w:p>
    <w:p w:rsidR="00B80045" w:rsidRPr="00611D16" w:rsidRDefault="00B80045" w:rsidP="00B80045">
      <w:pPr>
        <w:pStyle w:val="GvdeMetniGirintisi"/>
        <w:tabs>
          <w:tab w:val="left" w:pos="3402"/>
        </w:tabs>
        <w:ind w:firstLine="0"/>
        <w:rPr>
          <w:rFonts w:ascii="Times New Roman" w:hAnsi="Times New Roman"/>
          <w:szCs w:val="24"/>
        </w:rPr>
      </w:pPr>
      <w:r w:rsidRPr="00611D16">
        <w:rPr>
          <w:rFonts w:ascii="Times New Roman" w:hAnsi="Times New Roman"/>
          <w:b/>
          <w:szCs w:val="24"/>
          <w:u w:val="single"/>
        </w:rPr>
        <w:t>G Ü N D E M    :</w:t>
      </w:r>
    </w:p>
    <w:p w:rsidR="00B80045" w:rsidRPr="00611D16" w:rsidRDefault="00B80045" w:rsidP="00B80045">
      <w:pPr>
        <w:pStyle w:val="GvdeMetniGirintisi"/>
        <w:tabs>
          <w:tab w:val="left" w:pos="708"/>
        </w:tabs>
        <w:ind w:left="142" w:firstLine="0"/>
        <w:rPr>
          <w:rFonts w:ascii="Times New Roman" w:hAnsi="Times New Roman"/>
          <w:szCs w:val="24"/>
        </w:rPr>
      </w:pPr>
    </w:p>
    <w:p w:rsidR="00611D16" w:rsidRDefault="00611D16" w:rsidP="00611D16">
      <w:pPr>
        <w:pStyle w:val="ListeParagraf"/>
        <w:numPr>
          <w:ilvl w:val="0"/>
          <w:numId w:val="2"/>
        </w:numPr>
        <w:tabs>
          <w:tab w:val="left" w:pos="709"/>
          <w:tab w:val="left" w:pos="3696"/>
          <w:tab w:val="left" w:pos="9498"/>
        </w:tabs>
        <w:spacing w:before="120" w:beforeAutospacing="0" w:after="0" w:afterAutospacing="0"/>
        <w:ind w:left="567" w:hanging="425"/>
        <w:jc w:val="both"/>
      </w:pPr>
      <w:r w:rsidRPr="00611D16">
        <w:t>Yoklama ve açılış.</w:t>
      </w:r>
    </w:p>
    <w:p w:rsidR="00611D16" w:rsidRPr="00611D16" w:rsidRDefault="00611D16" w:rsidP="00611D16">
      <w:pPr>
        <w:pStyle w:val="ListeParagraf"/>
        <w:numPr>
          <w:ilvl w:val="0"/>
          <w:numId w:val="2"/>
        </w:numPr>
        <w:tabs>
          <w:tab w:val="left" w:pos="709"/>
          <w:tab w:val="left" w:pos="3696"/>
          <w:tab w:val="left" w:pos="9498"/>
        </w:tabs>
        <w:spacing w:before="120" w:beforeAutospacing="0" w:after="0" w:afterAutospacing="0"/>
        <w:ind w:left="567" w:hanging="425"/>
        <w:jc w:val="both"/>
      </w:pPr>
      <w:r w:rsidRPr="00611D16">
        <w:t>Bir önceki birleşim tutanak özetinin okunması.</w:t>
      </w:r>
    </w:p>
    <w:p w:rsidR="00611D16" w:rsidRPr="00611D16" w:rsidRDefault="00611D16" w:rsidP="00611D16">
      <w:pPr>
        <w:tabs>
          <w:tab w:val="left" w:pos="567"/>
        </w:tabs>
        <w:spacing w:before="120"/>
        <w:ind w:hanging="425"/>
        <w:jc w:val="both"/>
        <w:rPr>
          <w:sz w:val="24"/>
          <w:szCs w:val="24"/>
        </w:rPr>
      </w:pPr>
    </w:p>
    <w:p w:rsidR="00611D16" w:rsidRPr="00611D16" w:rsidRDefault="00611D16" w:rsidP="00611D16">
      <w:pPr>
        <w:numPr>
          <w:ilvl w:val="0"/>
          <w:numId w:val="2"/>
        </w:numPr>
        <w:tabs>
          <w:tab w:val="left" w:pos="567"/>
        </w:tabs>
        <w:ind w:left="567" w:hanging="425"/>
        <w:jc w:val="both"/>
        <w:rPr>
          <w:sz w:val="24"/>
          <w:szCs w:val="24"/>
        </w:rPr>
      </w:pPr>
      <w:r w:rsidRPr="00611D16">
        <w:rPr>
          <w:sz w:val="24"/>
          <w:szCs w:val="24"/>
        </w:rPr>
        <w:t>Belediye hizmetlerini sürdürebilmek için oluşabilecek nakit ihtiyacının karşılanabilmesi ve yasal düzenlemeden dolayı emekli olan personellerimizin emekli ikramiyeleri ile tazminatlarının ödenmesinde kullanılmak üzere yurtiçi bankalarından iç borçlanma yapılabilmesi için Belediye Başkanına yetki verilmesi ile ilgili teklife ait Plan ve Bütçe Komisyonu ile Hukuk ve Temel Haklar Komisyonu ortak raporunun görüşülmesi.</w:t>
      </w:r>
    </w:p>
    <w:p w:rsidR="00611D16" w:rsidRPr="00611D16" w:rsidRDefault="00611D16" w:rsidP="00611D16">
      <w:pPr>
        <w:tabs>
          <w:tab w:val="left" w:pos="567"/>
        </w:tabs>
        <w:ind w:left="284" w:hanging="425"/>
        <w:jc w:val="both"/>
        <w:rPr>
          <w:sz w:val="24"/>
          <w:szCs w:val="24"/>
        </w:rPr>
      </w:pPr>
    </w:p>
    <w:p w:rsidR="00611D16" w:rsidRPr="00611D16" w:rsidRDefault="00611D16" w:rsidP="00611D16">
      <w:pPr>
        <w:numPr>
          <w:ilvl w:val="0"/>
          <w:numId w:val="2"/>
        </w:numPr>
        <w:tabs>
          <w:tab w:val="left" w:pos="567"/>
        </w:tabs>
        <w:ind w:left="567" w:hanging="425"/>
        <w:jc w:val="both"/>
        <w:rPr>
          <w:sz w:val="24"/>
          <w:szCs w:val="24"/>
        </w:rPr>
      </w:pPr>
      <w:r w:rsidRPr="00611D16">
        <w:rPr>
          <w:sz w:val="24"/>
          <w:szCs w:val="24"/>
        </w:rPr>
        <w:t>Teminat Mektubu alınması ile ilgili teklife ait Plan ve Bütçe Komisyonu ile Hukuk ve Temel Haklar Komisyonu ortak raporunun görüşülmesi.</w:t>
      </w:r>
    </w:p>
    <w:p w:rsidR="00611D16" w:rsidRPr="00611D16" w:rsidRDefault="00611D16" w:rsidP="00611D16">
      <w:pPr>
        <w:tabs>
          <w:tab w:val="left" w:pos="567"/>
        </w:tabs>
        <w:ind w:hanging="425"/>
        <w:jc w:val="both"/>
        <w:rPr>
          <w:sz w:val="24"/>
          <w:szCs w:val="24"/>
        </w:rPr>
      </w:pPr>
    </w:p>
    <w:p w:rsidR="00611D16" w:rsidRPr="00611D16" w:rsidRDefault="00611D16" w:rsidP="00611D16">
      <w:pPr>
        <w:numPr>
          <w:ilvl w:val="0"/>
          <w:numId w:val="2"/>
        </w:numPr>
        <w:tabs>
          <w:tab w:val="left" w:pos="567"/>
        </w:tabs>
        <w:ind w:left="567" w:hanging="425"/>
        <w:jc w:val="both"/>
        <w:rPr>
          <w:sz w:val="24"/>
          <w:szCs w:val="24"/>
        </w:rPr>
      </w:pPr>
      <w:r w:rsidRPr="00611D16">
        <w:rPr>
          <w:sz w:val="24"/>
          <w:szCs w:val="24"/>
        </w:rPr>
        <w:t>Yenişehir Belediyesi Personel Limitet Şirketi’nin sermayesinin artırımı ile ilgili teklife ait Plan ve Bütçe Komisyonu ile Hukuk ve Temel Haklar Komisyonu ortak raporunun görüşülmesi.</w:t>
      </w:r>
    </w:p>
    <w:p w:rsidR="00611D16" w:rsidRPr="00611D16" w:rsidRDefault="00611D16" w:rsidP="00611D16">
      <w:pPr>
        <w:tabs>
          <w:tab w:val="left" w:pos="567"/>
          <w:tab w:val="left" w:pos="709"/>
          <w:tab w:val="left" w:pos="3696"/>
          <w:tab w:val="left" w:pos="9498"/>
        </w:tabs>
        <w:spacing w:before="120" w:after="120"/>
        <w:ind w:left="567" w:hanging="425"/>
        <w:jc w:val="both"/>
        <w:rPr>
          <w:sz w:val="24"/>
          <w:szCs w:val="24"/>
        </w:rPr>
      </w:pPr>
    </w:p>
    <w:p w:rsidR="00267A3E" w:rsidRDefault="00267A3E" w:rsidP="00611D16">
      <w:pPr>
        <w:ind w:left="567"/>
        <w:jc w:val="both"/>
      </w:pPr>
    </w:p>
    <w:sectPr w:rsidR="00267A3E" w:rsidSect="00896CB7">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CF82C20"/>
    <w:lvl w:ilvl="0" w:tplc="1004BA06">
      <w:start w:val="1"/>
      <w:numFmt w:val="decimal"/>
      <w:lvlText w:val="%1."/>
      <w:lvlJc w:val="left"/>
      <w:pPr>
        <w:tabs>
          <w:tab w:val="num" w:pos="502"/>
        </w:tabs>
        <w:ind w:left="502"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267A3E"/>
    <w:rsid w:val="00611D16"/>
    <w:rsid w:val="00744621"/>
    <w:rsid w:val="00891232"/>
    <w:rsid w:val="00896CB7"/>
    <w:rsid w:val="009121E9"/>
    <w:rsid w:val="00AE2F46"/>
    <w:rsid w:val="00B80045"/>
    <w:rsid w:val="00CF544E"/>
    <w:rsid w:val="00D701DE"/>
    <w:rsid w:val="00E615D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80045"/>
    <w:rPr>
      <w:rFonts w:ascii="Arial" w:hAnsi="Arial" w:cs="Arial"/>
      <w:b/>
      <w:sz w:val="24"/>
    </w:rPr>
  </w:style>
  <w:style w:type="paragraph" w:styleId="GvdeMetniGirintisi">
    <w:name w:val="Body Text Indent"/>
    <w:basedOn w:val="Normal"/>
    <w:link w:val="GvdeMetniGirintisiChar"/>
    <w:semiHidden/>
    <w:unhideWhenUsed/>
    <w:rsid w:val="00B80045"/>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80045"/>
    <w:rPr>
      <w:rFonts w:ascii="Arial" w:hAnsi="Arial"/>
      <w:sz w:val="24"/>
    </w:rPr>
  </w:style>
  <w:style w:type="paragraph" w:styleId="KonuBal">
    <w:name w:val="Title"/>
    <w:basedOn w:val="Normal"/>
    <w:link w:val="KonuBalChar"/>
    <w:qFormat/>
    <w:rsid w:val="00B80045"/>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80045"/>
    <w:rPr>
      <w:rFonts w:ascii="Cambria" w:eastAsia="Times New Roman" w:hAnsi="Cambria" w:cs="Times New Roman"/>
      <w:b/>
      <w:bCs/>
      <w:kern w:val="28"/>
      <w:sz w:val="32"/>
      <w:szCs w:val="32"/>
    </w:rPr>
  </w:style>
  <w:style w:type="paragraph" w:styleId="ListeParagraf">
    <w:name w:val="List Paragraph"/>
    <w:basedOn w:val="Normal"/>
    <w:uiPriority w:val="34"/>
    <w:qFormat/>
    <w:rsid w:val="009121E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13056661">
      <w:bodyDiv w:val="1"/>
      <w:marLeft w:val="0"/>
      <w:marRight w:val="0"/>
      <w:marTop w:val="0"/>
      <w:marBottom w:val="0"/>
      <w:divBdr>
        <w:top w:val="none" w:sz="0" w:space="0" w:color="auto"/>
        <w:left w:val="none" w:sz="0" w:space="0" w:color="auto"/>
        <w:bottom w:val="none" w:sz="0" w:space="0" w:color="auto"/>
        <w:right w:val="none" w:sz="0" w:space="0" w:color="auto"/>
      </w:divBdr>
    </w:div>
    <w:div w:id="2111076762">
      <w:bodyDiv w:val="1"/>
      <w:marLeft w:val="0"/>
      <w:marRight w:val="0"/>
      <w:marTop w:val="0"/>
      <w:marBottom w:val="0"/>
      <w:divBdr>
        <w:top w:val="none" w:sz="0" w:space="0" w:color="auto"/>
        <w:left w:val="none" w:sz="0" w:space="0" w:color="auto"/>
        <w:bottom w:val="none" w:sz="0" w:space="0" w:color="auto"/>
        <w:right w:val="none" w:sz="0" w:space="0" w:color="auto"/>
      </w:divBdr>
    </w:div>
    <w:div w:id="21419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2024-08-29T11:54:00Z</dcterms:created>
  <dcterms:modified xsi:type="dcterms:W3CDTF">2024-11-08T10:49:00Z</dcterms:modified>
</cp:coreProperties>
</file>