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572E37" w:rsidP="00F513D5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Mali Hizmetler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1D02F0">
              <w:rPr>
                <w:rFonts w:ascii="Arial" w:hAnsi="Arial" w:cs="Arial"/>
                <w:sz w:val="24"/>
              </w:rPr>
              <w:t>22</w:t>
            </w:r>
            <w:r w:rsidR="00D12C75">
              <w:rPr>
                <w:rFonts w:ascii="Arial" w:hAnsi="Arial" w:cs="Arial"/>
                <w:sz w:val="24"/>
              </w:rPr>
              <w:t>.09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 w:rsidR="00F513D5">
              <w:rPr>
                <w:rFonts w:ascii="Arial" w:hAnsi="Arial" w:cs="Arial"/>
                <w:sz w:val="24"/>
              </w:rPr>
              <w:t>-</w:t>
            </w:r>
            <w:r w:rsidR="001D02F0">
              <w:rPr>
                <w:rFonts w:ascii="Arial" w:hAnsi="Arial" w:cs="Arial"/>
                <w:sz w:val="24"/>
              </w:rPr>
              <w:t>840</w:t>
            </w:r>
            <w:r>
              <w:rPr>
                <w:rFonts w:ascii="Arial" w:hAnsi="Arial" w:cs="Arial"/>
                <w:sz w:val="24"/>
              </w:rPr>
              <w:t>-17</w:t>
            </w:r>
            <w:r w:rsidR="001D02F0">
              <w:rPr>
                <w:rFonts w:ascii="Arial" w:hAnsi="Arial" w:cs="Arial"/>
                <w:sz w:val="24"/>
              </w:rPr>
              <w:t>66</w:t>
            </w:r>
            <w:r w:rsidR="00F513D5">
              <w:rPr>
                <w:rFonts w:ascii="Arial" w:hAnsi="Arial" w:cs="Arial"/>
                <w:sz w:val="24"/>
              </w:rPr>
              <w:t>00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043DA2" w:rsidRPr="00043DA2" w:rsidRDefault="00043DA2" w:rsidP="00043DA2">
            <w:pPr>
              <w:rPr>
                <w:b/>
                <w:sz w:val="24"/>
                <w:u w:val="single"/>
              </w:rPr>
            </w:pPr>
          </w:p>
          <w:p w:rsidR="00B82593" w:rsidRPr="0000532C" w:rsidRDefault="0000532C" w:rsidP="00B82593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0532C">
              <w:rPr>
                <w:rFonts w:ascii="Arial" w:hAnsi="Arial" w:cs="Arial"/>
                <w:sz w:val="24"/>
              </w:rPr>
              <w:t>2872 Sayılı Çevre Kanunu Hükümleri</w:t>
            </w:r>
            <w:r w:rsidR="00043DA2" w:rsidRPr="000053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2593" w:rsidRPr="0000532C">
              <w:rPr>
                <w:rFonts w:ascii="Arial" w:hAnsi="Arial" w:cs="Arial"/>
                <w:sz w:val="24"/>
                <w:szCs w:val="24"/>
              </w:rPr>
              <w:t>“</w:t>
            </w:r>
            <w:proofErr w:type="spellStart"/>
            <w:r w:rsidR="00B82593" w:rsidRPr="0000532C">
              <w:rPr>
                <w:rFonts w:ascii="Arial" w:hAnsi="Arial" w:cs="Arial"/>
                <w:sz w:val="24"/>
                <w:szCs w:val="24"/>
              </w:rPr>
              <w:t>Atıksu</w:t>
            </w:r>
            <w:proofErr w:type="spellEnd"/>
            <w:r w:rsidR="00B82593" w:rsidRPr="0000532C">
              <w:rPr>
                <w:rFonts w:ascii="Arial" w:hAnsi="Arial" w:cs="Arial"/>
                <w:sz w:val="24"/>
                <w:szCs w:val="24"/>
              </w:rPr>
              <w:t xml:space="preserve"> Altyapı ve Evsel Katı Atık Bertaraf Tesisleri Tarifelerinin Belirlenmesinde Uyulacak Usul ve Esaslara İlişkin Yönetmelik “ gereği hazırlanan 2026 Mali Yılı Evsel Katı Atık Ücret Tarifesi ile ilgili teklifin Plan ve Bütçe Komisyonu</w:t>
            </w:r>
            <w:r>
              <w:rPr>
                <w:rFonts w:ascii="Arial" w:hAnsi="Arial" w:cs="Arial"/>
                <w:sz w:val="24"/>
                <w:szCs w:val="24"/>
              </w:rPr>
              <w:t xml:space="preserve"> ile Tarife ve Yönetmelikler</w:t>
            </w:r>
            <w:r w:rsidR="00B82593" w:rsidRPr="0000532C">
              <w:rPr>
                <w:rFonts w:ascii="Arial" w:hAnsi="Arial" w:cs="Arial"/>
                <w:sz w:val="24"/>
                <w:szCs w:val="24"/>
              </w:rPr>
              <w:t xml:space="preserve"> Komisyonuna ortak havale edilmesinin kabulüne oy birliği ile karar verildi.</w:t>
            </w:r>
            <w:proofErr w:type="gramEnd"/>
          </w:p>
          <w:p w:rsidR="00B82593" w:rsidRPr="0000532C" w:rsidRDefault="00B82593" w:rsidP="00B82593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2593" w:rsidRPr="0000532C" w:rsidRDefault="00B82593" w:rsidP="00B82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2593" w:rsidRDefault="00B82593" w:rsidP="00B82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418" w:rsidRDefault="00130418" w:rsidP="00130418">
            <w:pPr>
              <w:jc w:val="center"/>
              <w:rPr>
                <w:sz w:val="24"/>
              </w:rPr>
            </w:pPr>
          </w:p>
          <w:p w:rsidR="00130418" w:rsidRDefault="00130418" w:rsidP="00130418">
            <w:pPr>
              <w:jc w:val="center"/>
              <w:rPr>
                <w:sz w:val="24"/>
              </w:rPr>
            </w:pPr>
          </w:p>
          <w:p w:rsidR="00D44110" w:rsidRDefault="00D44110" w:rsidP="002C0A9F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A03982" w:rsidRDefault="00A03982" w:rsidP="00F664BF"/>
    <w:p w:rsidR="00067944" w:rsidRDefault="00F664BF" w:rsidP="00067944">
      <w:pPr>
        <w:tabs>
          <w:tab w:val="left" w:pos="4536"/>
        </w:tabs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</w:p>
    <w:p w:rsidR="007B53BE" w:rsidRDefault="007B53BE" w:rsidP="007B53BE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9B" w:rsidRDefault="00B1609B">
      <w:r>
        <w:separator/>
      </w:r>
    </w:p>
  </w:endnote>
  <w:endnote w:type="continuationSeparator" w:id="0">
    <w:p w:rsidR="00B1609B" w:rsidRDefault="00B16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9B" w:rsidRDefault="00B1609B">
      <w:r>
        <w:separator/>
      </w:r>
    </w:p>
  </w:footnote>
  <w:footnote w:type="continuationSeparator" w:id="0">
    <w:p w:rsidR="00B1609B" w:rsidRDefault="00B16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B82593">
          <w:pPr>
            <w:pStyle w:val="Balk2"/>
            <w:jc w:val="left"/>
          </w:pPr>
          <w:r>
            <w:t>1</w:t>
          </w:r>
          <w:r w:rsidR="00207EED">
            <w:t>6</w:t>
          </w:r>
          <w:r w:rsidR="00B82593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532C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D54"/>
    <w:rsid w:val="00053DA3"/>
    <w:rsid w:val="0006338E"/>
    <w:rsid w:val="00067944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60AF"/>
    <w:rsid w:val="0027560D"/>
    <w:rsid w:val="0028560F"/>
    <w:rsid w:val="002A0DE9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53ECF"/>
    <w:rsid w:val="0035746B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469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3F14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1609B"/>
    <w:rsid w:val="00B229D5"/>
    <w:rsid w:val="00B335CD"/>
    <w:rsid w:val="00B36E8F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5FD5"/>
    <w:rsid w:val="00D00DC8"/>
    <w:rsid w:val="00D0194F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3D5"/>
    <w:rsid w:val="00F532D1"/>
    <w:rsid w:val="00F53832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375</cp:revision>
  <cp:lastPrinted>2025-06-03T10:12:00Z</cp:lastPrinted>
  <dcterms:created xsi:type="dcterms:W3CDTF">2024-08-27T08:27:00Z</dcterms:created>
  <dcterms:modified xsi:type="dcterms:W3CDTF">2025-10-02T06:17:00Z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