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0C5342" w:rsidP="000C5342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Araştırma ve Geliştirme </w:t>
            </w:r>
            <w:r w:rsidR="00390C9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25</w:t>
            </w:r>
            <w:r w:rsidR="00390C9E">
              <w:rPr>
                <w:rFonts w:ascii="Arial" w:hAnsi="Arial" w:cs="Arial"/>
                <w:sz w:val="24"/>
              </w:rPr>
              <w:t xml:space="preserve">.11.2025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83244374</w:t>
            </w:r>
            <w:proofErr w:type="gramEnd"/>
            <w:r>
              <w:rPr>
                <w:rFonts w:ascii="Arial" w:hAnsi="Arial" w:cs="Arial"/>
                <w:sz w:val="24"/>
              </w:rPr>
              <w:t>-000-185144</w:t>
            </w:r>
            <w:r w:rsidR="00390C9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BE0924" w:rsidRDefault="00BE0924" w:rsidP="002A0E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0924" w:rsidRDefault="00BE0924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0E19" w:rsidRDefault="002A0E19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24">
              <w:rPr>
                <w:rFonts w:ascii="Arial" w:hAnsi="Arial" w:cs="Arial"/>
                <w:sz w:val="24"/>
                <w:szCs w:val="24"/>
              </w:rPr>
              <w:t>Yenişehir Belediyesi, çevresel sürdürülebilirlik, iklim değişikliğine uyum ve enerji verimliliği alanlarında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uluslararası standartlara uygun bir yönetim anlayışı benimseyerek, 2019 yılından bu yana yürütülen çalışmaların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bilimsel veri temelli bir yapıya kavuşturulması için önemli adımlar atmıştır. Bu kapsamda Avrupa Birliği’nin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“İklim ve Enerji İçin Belediye Başkanları Sözleşmesi (</w:t>
            </w:r>
            <w:proofErr w:type="spellStart"/>
            <w:r w:rsidRPr="00BE0924">
              <w:rPr>
                <w:rFonts w:ascii="Arial" w:hAnsi="Arial" w:cs="Arial"/>
                <w:sz w:val="24"/>
                <w:szCs w:val="24"/>
              </w:rPr>
              <w:t>Covenant</w:t>
            </w:r>
            <w:proofErr w:type="spellEnd"/>
            <w:r w:rsidRPr="00BE0924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BE0924">
              <w:rPr>
                <w:rFonts w:ascii="Arial" w:hAnsi="Arial" w:cs="Arial"/>
                <w:sz w:val="24"/>
                <w:szCs w:val="24"/>
              </w:rPr>
              <w:t>Mayors</w:t>
            </w:r>
            <w:proofErr w:type="spellEnd"/>
            <w:r w:rsidRPr="00BE0924">
              <w:rPr>
                <w:rFonts w:ascii="Arial" w:hAnsi="Arial" w:cs="Arial"/>
                <w:sz w:val="24"/>
                <w:szCs w:val="24"/>
              </w:rPr>
              <w:t>)”ne taraf olunmuş; enerji verimliliği,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 xml:space="preserve">sera gazı </w:t>
            </w:r>
            <w:proofErr w:type="spellStart"/>
            <w:r w:rsidRPr="00BE0924">
              <w:rPr>
                <w:rFonts w:ascii="Arial" w:hAnsi="Arial" w:cs="Arial"/>
                <w:sz w:val="24"/>
                <w:szCs w:val="24"/>
              </w:rPr>
              <w:t>azaltımı</w:t>
            </w:r>
            <w:proofErr w:type="spellEnd"/>
            <w:r w:rsidRPr="00BE0924">
              <w:rPr>
                <w:rFonts w:ascii="Arial" w:hAnsi="Arial" w:cs="Arial"/>
                <w:sz w:val="24"/>
                <w:szCs w:val="24"/>
              </w:rPr>
              <w:t xml:space="preserve"> ve iklim uyumu alanlarında stratejik çerçeve sağlayan Sürdürülebilir Enerji ve İklim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Değişikliğine Uyum Planı (SECAP) hazırlanmıştır.</w:t>
            </w:r>
          </w:p>
          <w:p w:rsidR="00BE0924" w:rsidRPr="00BE0924" w:rsidRDefault="00BE0924" w:rsidP="00BE0924">
            <w:pPr>
              <w:ind w:firstLine="60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A0E19" w:rsidRDefault="002A0E19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24">
              <w:rPr>
                <w:rFonts w:ascii="Arial" w:hAnsi="Arial" w:cs="Arial"/>
                <w:sz w:val="24"/>
                <w:szCs w:val="24"/>
              </w:rPr>
              <w:t>Bununla birlikte, Yenişehir’in akıllı şehircilik kapasitesinin güçlendirilmesi amacıyla 2030 Akıllı Şehir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 xml:space="preserve">Stratejik Planı ve Dijital İkiz veri altyapısı geliştirilmiş; ilçenin yeşil alan yönetimi, </w:t>
            </w:r>
            <w:proofErr w:type="spellStart"/>
            <w:r w:rsidRPr="00BE0924">
              <w:rPr>
                <w:rFonts w:ascii="Arial" w:hAnsi="Arial" w:cs="Arial"/>
                <w:sz w:val="24"/>
                <w:szCs w:val="24"/>
              </w:rPr>
              <w:t>biyoçeşitlilik</w:t>
            </w:r>
            <w:proofErr w:type="spellEnd"/>
            <w:r w:rsidRPr="00BE0924">
              <w:rPr>
                <w:rFonts w:ascii="Arial" w:hAnsi="Arial" w:cs="Arial"/>
                <w:sz w:val="24"/>
                <w:szCs w:val="24"/>
              </w:rPr>
              <w:t>, sürdürülebilir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tarım ve ekosistem hizmetleri konularında karar destek süreçlerini güçlendirmek üzere kapsamlı analizler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yapılmıştır.</w:t>
            </w:r>
          </w:p>
          <w:p w:rsidR="00BE0924" w:rsidRPr="00BE0924" w:rsidRDefault="00BE0924" w:rsidP="00BE0924">
            <w:pPr>
              <w:ind w:firstLine="60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A0E19" w:rsidRDefault="002A0E19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24">
              <w:rPr>
                <w:rFonts w:ascii="Arial" w:hAnsi="Arial" w:cs="Arial"/>
                <w:sz w:val="24"/>
                <w:szCs w:val="24"/>
              </w:rPr>
              <w:t>Bu stratejik belgeler doğrultusunda; yeşil altyapının güçlendirilmesi, ekosistem hizmetlerinin korunması,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sürdürülebilir üretim modellerinin desteklenmesi ve ilçenin çevresel kapasitesinin artırılması amacıyla Akıllı Yeşil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Yenişehir Eylem Planı hazırlanmıştır. Plan; mevcut durum analizleri, öncelikli müdahale alanları, kısa–orta–uzun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vadeli eylemler, performans göstergeleri ve uygulama mekanizmalarını içeren bütüncül bir yol haritası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niteliğindedir.</w:t>
            </w:r>
          </w:p>
          <w:p w:rsidR="00BE0924" w:rsidRPr="00BE0924" w:rsidRDefault="00BE0924" w:rsidP="00BE0924">
            <w:pPr>
              <w:ind w:firstLine="60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A0E19" w:rsidRDefault="002A0E19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24">
              <w:rPr>
                <w:rFonts w:ascii="Arial" w:hAnsi="Arial" w:cs="Arial"/>
                <w:sz w:val="24"/>
                <w:szCs w:val="24"/>
              </w:rPr>
              <w:t>Hazırlık sürecinde ilgili kamu kurum ve kuruluşları, meslek odaları, akademik çevreler ve sivil toplum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kuruluşlarıyla istişareler yapılmış; elde edilen görüş ve öneriler doğrultusunda planın nihai çerçevesi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 xml:space="preserve">oluşturulmuştur. Böylece, yeşil alan yönetimi, </w:t>
            </w:r>
            <w:proofErr w:type="spellStart"/>
            <w:r w:rsidRPr="00BE0924">
              <w:rPr>
                <w:rFonts w:ascii="Arial" w:hAnsi="Arial" w:cs="Arial"/>
                <w:sz w:val="24"/>
                <w:szCs w:val="24"/>
              </w:rPr>
              <w:t>biyoçeşitlilik</w:t>
            </w:r>
            <w:proofErr w:type="spellEnd"/>
            <w:r w:rsidRPr="00BE0924">
              <w:rPr>
                <w:rFonts w:ascii="Arial" w:hAnsi="Arial" w:cs="Arial"/>
                <w:sz w:val="24"/>
                <w:szCs w:val="24"/>
              </w:rPr>
              <w:t xml:space="preserve">, tarım, </w:t>
            </w:r>
            <w:proofErr w:type="gramStart"/>
            <w:r w:rsidRPr="00BE0924">
              <w:rPr>
                <w:rFonts w:ascii="Arial" w:hAnsi="Arial" w:cs="Arial"/>
                <w:sz w:val="24"/>
                <w:szCs w:val="24"/>
              </w:rPr>
              <w:t>ekoloji</w:t>
            </w:r>
            <w:proofErr w:type="gramEnd"/>
            <w:r w:rsidRPr="00BE0924">
              <w:rPr>
                <w:rFonts w:ascii="Arial" w:hAnsi="Arial" w:cs="Arial"/>
                <w:sz w:val="24"/>
                <w:szCs w:val="24"/>
              </w:rPr>
              <w:t xml:space="preserve"> ve sürdürülebilirlik eksenindeki tüm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çalışmalar kurumsal bir bütünlük içerisinde değerlendirilmiş, uygulanabilir bir stratejik plan hâline getirilmiştir.</w:t>
            </w:r>
          </w:p>
          <w:p w:rsidR="00BE0924" w:rsidRPr="00BE0924" w:rsidRDefault="00BE0924" w:rsidP="00BE0924">
            <w:pPr>
              <w:ind w:firstLine="60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A0E19" w:rsidRDefault="002A0E19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24">
              <w:rPr>
                <w:rFonts w:ascii="Arial" w:hAnsi="Arial" w:cs="Arial"/>
                <w:sz w:val="24"/>
                <w:szCs w:val="24"/>
              </w:rPr>
              <w:t>Hazırlanan Akıllı Yeşil Yenişehir Eylem Planı, ilçemizin çevresel sürdürülebilirlik hedeflerine ulaşması,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iklim değişikliğine uyum kapasitesinin güçlendirilmesi ve yeşil dönüşümün bütüncül bir modelle yönetilmesi için</w:t>
            </w:r>
            <w:r w:rsidR="00BE0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924">
              <w:rPr>
                <w:rFonts w:ascii="Arial" w:hAnsi="Arial" w:cs="Arial"/>
                <w:sz w:val="24"/>
                <w:szCs w:val="24"/>
              </w:rPr>
              <w:t>temel bir rehber niteliğindedir.</w:t>
            </w:r>
          </w:p>
          <w:p w:rsidR="00BE0924" w:rsidRPr="00BE0924" w:rsidRDefault="00BE0924" w:rsidP="00BE0924">
            <w:pPr>
              <w:ind w:firstLine="60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A0E19" w:rsidRDefault="002A0E19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924">
              <w:rPr>
                <w:rFonts w:ascii="Arial" w:hAnsi="Arial" w:cs="Arial"/>
                <w:sz w:val="24"/>
                <w:szCs w:val="24"/>
              </w:rPr>
              <w:t xml:space="preserve">Bu kapsamda, Akıllı Yeşil Yenişehir Eylem Planı’nın kabul edilmesi ve yürürlüğe alınması </w:t>
            </w:r>
            <w:r w:rsidR="00BE0924">
              <w:rPr>
                <w:rFonts w:ascii="Arial" w:hAnsi="Arial" w:cs="Arial"/>
                <w:sz w:val="24"/>
                <w:szCs w:val="24"/>
              </w:rPr>
              <w:t>ile ilgili teklif Enerji ve Ekoloji Komisyonu ile Proje Geliştirme ve Kentsel Dönüşüm Komisyonuna ortak havale edilmesinin kabulüne oy birliği ile karar verildi.</w:t>
            </w:r>
          </w:p>
          <w:p w:rsidR="00BE0924" w:rsidRDefault="00BE0924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0924" w:rsidRPr="00BE0924" w:rsidRDefault="00BE0924" w:rsidP="00BE0924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2A0E19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BE0924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9D7" w:rsidRDefault="00D939D7">
      <w:r>
        <w:separator/>
      </w:r>
    </w:p>
  </w:endnote>
  <w:endnote w:type="continuationSeparator" w:id="0">
    <w:p w:rsidR="00D939D7" w:rsidRDefault="00D9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9D7" w:rsidRDefault="00D939D7">
      <w:r>
        <w:separator/>
      </w:r>
    </w:p>
  </w:footnote>
  <w:footnote w:type="continuationSeparator" w:id="0">
    <w:p w:rsidR="00D939D7" w:rsidRDefault="00D93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C5342" w:rsidP="006459E2">
          <w:pPr>
            <w:pStyle w:val="Balk2"/>
            <w:jc w:val="left"/>
          </w:pPr>
          <w:r>
            <w:t>222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>
          <w:pPr>
            <w:pStyle w:val="Balk2"/>
            <w:jc w:val="left"/>
          </w:pPr>
          <w:r>
            <w:t>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773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6E773D">
            <w:rPr>
              <w:b/>
            </w:rPr>
            <w:t>12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C5342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2E66"/>
    <w:rsid w:val="0028560F"/>
    <w:rsid w:val="002A0DE9"/>
    <w:rsid w:val="002A0E19"/>
    <w:rsid w:val="002B23A4"/>
    <w:rsid w:val="002B284A"/>
    <w:rsid w:val="002B497F"/>
    <w:rsid w:val="002B701F"/>
    <w:rsid w:val="002D0121"/>
    <w:rsid w:val="002D2B99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41E7"/>
    <w:rsid w:val="00637C33"/>
    <w:rsid w:val="006421C5"/>
    <w:rsid w:val="006459E2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9D1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7253"/>
    <w:rsid w:val="00877918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456F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924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E265E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39D7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2292F"/>
    <w:rsid w:val="00E4636F"/>
    <w:rsid w:val="00E50AD2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C6FAD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363</cp:revision>
  <cp:lastPrinted>2025-06-03T10:12:00Z</cp:lastPrinted>
  <dcterms:created xsi:type="dcterms:W3CDTF">2024-08-27T08:27:00Z</dcterms:created>
  <dcterms:modified xsi:type="dcterms:W3CDTF">2025-12-02T07:50:00Z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