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7A6E58" w:rsidRDefault="001E64BF" w:rsidP="00921939">
            <w:pPr>
              <w:ind w:left="-108" w:firstLine="993"/>
              <w:jc w:val="both"/>
              <w:rPr>
                <w:rFonts w:ascii="Arial" w:hAnsi="Arial" w:cs="Arial"/>
                <w:sz w:val="24"/>
                <w:szCs w:val="24"/>
              </w:rPr>
            </w:pPr>
            <w:proofErr w:type="gramStart"/>
            <w:r w:rsidRPr="007A6E58">
              <w:rPr>
                <w:rFonts w:ascii="Arial" w:hAnsi="Arial" w:cs="Arial"/>
                <w:sz w:val="24"/>
                <w:szCs w:val="24"/>
              </w:rPr>
              <w:t xml:space="preserve">Belediye Meclisinin </w:t>
            </w:r>
            <w:r w:rsidR="008B5580" w:rsidRPr="007A6E58">
              <w:rPr>
                <w:rFonts w:ascii="Arial" w:hAnsi="Arial" w:cs="Arial"/>
                <w:sz w:val="24"/>
                <w:szCs w:val="24"/>
              </w:rPr>
              <w:t>0</w:t>
            </w:r>
            <w:r w:rsidR="00921939">
              <w:rPr>
                <w:rFonts w:ascii="Arial" w:hAnsi="Arial" w:cs="Arial"/>
                <w:sz w:val="24"/>
                <w:szCs w:val="24"/>
              </w:rPr>
              <w:t>6</w:t>
            </w:r>
            <w:r w:rsidR="008B5580" w:rsidRPr="007A6E58">
              <w:rPr>
                <w:rFonts w:ascii="Arial" w:hAnsi="Arial" w:cs="Arial"/>
                <w:sz w:val="24"/>
                <w:szCs w:val="24"/>
              </w:rPr>
              <w:t>.0</w:t>
            </w:r>
            <w:r w:rsidR="00921939">
              <w:rPr>
                <w:rFonts w:ascii="Arial" w:hAnsi="Arial" w:cs="Arial"/>
                <w:sz w:val="24"/>
                <w:szCs w:val="24"/>
              </w:rPr>
              <w:t>4</w:t>
            </w:r>
            <w:r w:rsidRPr="007A6E58">
              <w:rPr>
                <w:rFonts w:ascii="Arial" w:hAnsi="Arial" w:cs="Arial"/>
                <w:sz w:val="24"/>
                <w:szCs w:val="24"/>
              </w:rPr>
              <w:t xml:space="preserve">.2026 tarih ve </w:t>
            </w:r>
            <w:r w:rsidR="00921939">
              <w:rPr>
                <w:rFonts w:ascii="Arial" w:hAnsi="Arial" w:cs="Arial"/>
                <w:sz w:val="24"/>
                <w:szCs w:val="24"/>
              </w:rPr>
              <w:t>87</w:t>
            </w:r>
            <w:r w:rsidR="00E8539E" w:rsidRPr="007A6E58">
              <w:rPr>
                <w:rFonts w:ascii="Arial" w:hAnsi="Arial" w:cs="Arial"/>
                <w:sz w:val="24"/>
                <w:szCs w:val="24"/>
              </w:rPr>
              <w:t xml:space="preserve"> </w:t>
            </w:r>
            <w:r w:rsidRPr="007A6E58">
              <w:rPr>
                <w:rFonts w:ascii="Arial" w:hAnsi="Arial" w:cs="Arial"/>
                <w:sz w:val="24"/>
                <w:szCs w:val="24"/>
              </w:rPr>
              <w:t xml:space="preserve">sayılı ara kararı </w:t>
            </w:r>
            <w:r w:rsidR="00921939">
              <w:rPr>
                <w:rFonts w:ascii="Arial" w:hAnsi="Arial" w:cs="Arial"/>
                <w:sz w:val="22"/>
                <w:szCs w:val="22"/>
              </w:rPr>
              <w:t xml:space="preserve">Plan ve Bütçe Komisyonu, İmar Komisyonu, Hukuk ve Temel Haklar Komisyonu, Proje Geliştirme ve Kentsel Dönüşüm Komisyonu ile Esnaf ve Ekonomik Hayatın Geliştirilmesi </w:t>
            </w:r>
            <w:r w:rsidR="00215189" w:rsidRPr="007A6E58">
              <w:rPr>
                <w:rFonts w:ascii="Arial" w:hAnsi="Arial" w:cs="Arial"/>
                <w:sz w:val="24"/>
                <w:szCs w:val="24"/>
              </w:rPr>
              <w:t>Komisyonu</w:t>
            </w:r>
            <w:r w:rsidR="00D14AE5" w:rsidRPr="007A6E58">
              <w:rPr>
                <w:rFonts w:ascii="Arial" w:hAnsi="Arial" w:cs="Arial"/>
                <w:sz w:val="24"/>
                <w:szCs w:val="24"/>
              </w:rPr>
              <w:t>na</w:t>
            </w:r>
            <w:r w:rsidR="00215189" w:rsidRPr="007A6E58">
              <w:rPr>
                <w:rFonts w:ascii="Arial" w:hAnsi="Arial" w:cs="Arial"/>
                <w:sz w:val="24"/>
                <w:szCs w:val="24"/>
              </w:rPr>
              <w:t xml:space="preserve"> </w:t>
            </w:r>
            <w:r w:rsidR="006A174A" w:rsidRPr="007A6E58">
              <w:rPr>
                <w:rFonts w:ascii="Arial" w:hAnsi="Arial" w:cs="Arial"/>
                <w:sz w:val="24"/>
                <w:szCs w:val="24"/>
              </w:rPr>
              <w:t xml:space="preserve">ortak </w:t>
            </w:r>
            <w:r w:rsidRPr="007A6E58">
              <w:rPr>
                <w:rFonts w:ascii="Arial" w:hAnsi="Arial" w:cs="Arial"/>
                <w:sz w:val="24"/>
                <w:szCs w:val="24"/>
              </w:rPr>
              <w:t xml:space="preserve">havale edilen </w:t>
            </w:r>
            <w:r w:rsidR="00921939">
              <w:rPr>
                <w:rFonts w:ascii="Arial" w:hAnsi="Arial" w:cs="Arial"/>
                <w:sz w:val="22"/>
                <w:szCs w:val="22"/>
              </w:rPr>
              <w:t>2025 Yılı Faaliyet Raporunun görüşülmesi</w:t>
            </w:r>
            <w:r w:rsidR="007A6E58" w:rsidRPr="007A6E58">
              <w:rPr>
                <w:rFonts w:ascii="Arial" w:hAnsi="Arial" w:cs="Arial"/>
                <w:sz w:val="24"/>
                <w:szCs w:val="24"/>
              </w:rPr>
              <w:t xml:space="preserve"> ile ilgili teklife ait </w:t>
            </w:r>
            <w:r w:rsidR="00921939">
              <w:rPr>
                <w:rFonts w:ascii="Arial" w:hAnsi="Arial" w:cs="Arial"/>
                <w:sz w:val="24"/>
                <w:szCs w:val="24"/>
              </w:rPr>
              <w:t>08.04.</w:t>
            </w:r>
            <w:r w:rsidRPr="007A6E58">
              <w:rPr>
                <w:rFonts w:ascii="Arial" w:hAnsi="Arial" w:cs="Arial"/>
                <w:sz w:val="24"/>
                <w:szCs w:val="24"/>
              </w:rPr>
              <w:t>2026 tarihli komisyon raporu okunarak görüşülmeye geçildi</w:t>
            </w:r>
            <w:r w:rsidR="00021ADE" w:rsidRPr="007A6E58">
              <w:rPr>
                <w:rFonts w:ascii="Arial" w:hAnsi="Arial" w:cs="Arial"/>
                <w:sz w:val="24"/>
                <w:szCs w:val="24"/>
              </w:rPr>
              <w:t>.</w:t>
            </w:r>
            <w:proofErr w:type="gramEnd"/>
          </w:p>
        </w:tc>
      </w:tr>
      <w:tr w:rsidR="00A4022D" w:rsidRPr="000C2C50" w:rsidTr="008D7392">
        <w:trPr>
          <w:trHeight w:val="8850"/>
        </w:trPr>
        <w:tc>
          <w:tcPr>
            <w:tcW w:w="10206" w:type="dxa"/>
            <w:tcBorders>
              <w:top w:val="nil"/>
              <w:left w:val="nil"/>
              <w:bottom w:val="nil"/>
              <w:right w:val="nil"/>
            </w:tcBorders>
          </w:tcPr>
          <w:p w:rsidR="008D7392" w:rsidRDefault="008D7392">
            <w:pPr>
              <w:jc w:val="center"/>
              <w:rPr>
                <w:b/>
                <w:sz w:val="24"/>
                <w:u w:val="single"/>
              </w:rPr>
            </w:pPr>
          </w:p>
          <w:p w:rsidR="00A4022D" w:rsidRDefault="00A4022D">
            <w:pPr>
              <w:jc w:val="center"/>
              <w:rPr>
                <w:b/>
                <w:sz w:val="24"/>
                <w:u w:val="single"/>
              </w:rPr>
            </w:pPr>
            <w:r>
              <w:rPr>
                <w:b/>
                <w:sz w:val="24"/>
                <w:u w:val="single"/>
              </w:rPr>
              <w:t>KONUNUN GÖRÜŞÜLEREK OYLANMASI SONUCUNDA</w:t>
            </w:r>
          </w:p>
          <w:p w:rsidR="001419E4" w:rsidRDefault="001419E4" w:rsidP="008D7392">
            <w:pPr>
              <w:ind w:firstLine="567"/>
              <w:jc w:val="both"/>
              <w:rPr>
                <w:rFonts w:ascii="Arial" w:hAnsi="Arial" w:cs="Arial"/>
                <w:sz w:val="22"/>
                <w:szCs w:val="22"/>
              </w:rPr>
            </w:pPr>
          </w:p>
          <w:p w:rsidR="008D7392" w:rsidRPr="00CA1306" w:rsidRDefault="008D7392" w:rsidP="008D7392">
            <w:pPr>
              <w:ind w:firstLine="567"/>
              <w:jc w:val="both"/>
              <w:rPr>
                <w:rFonts w:ascii="Arial" w:hAnsi="Arial" w:cs="Arial"/>
                <w:sz w:val="22"/>
                <w:szCs w:val="22"/>
              </w:rPr>
            </w:pPr>
            <w:r w:rsidRPr="00CA1306">
              <w:rPr>
                <w:rFonts w:ascii="Arial" w:hAnsi="Arial" w:cs="Arial"/>
                <w:sz w:val="22"/>
                <w:szCs w:val="22"/>
              </w:rPr>
              <w:t xml:space="preserve">Belediyemiz 2025 Yılı Taslak İdare Faaliyet Raporu, Belediye meclisinin 06.04.2026 tarih ve 87 sayılı ara kararı ile Plan ve Bütçe Komisyonu, Hukuk ve Temel Haklar Komisyonu, İmar Komisyonu,  Esnaf ve Ekonomik Hayatın Geliştirilmesi Komisyonu ile Proje Geliştirme ve Kentsel Dönüşüm Komisyonuna ortak havale edilmiştir. </w:t>
            </w:r>
          </w:p>
          <w:p w:rsidR="001419E4" w:rsidRPr="00CA1306" w:rsidRDefault="001419E4" w:rsidP="008D7392">
            <w:pPr>
              <w:ind w:firstLine="567"/>
              <w:jc w:val="both"/>
              <w:rPr>
                <w:rFonts w:ascii="Arial" w:hAnsi="Arial" w:cs="Arial"/>
                <w:sz w:val="8"/>
                <w:szCs w:val="8"/>
              </w:rPr>
            </w:pPr>
          </w:p>
          <w:p w:rsidR="001419E4" w:rsidRPr="00CA1306" w:rsidRDefault="001419E4" w:rsidP="001419E4">
            <w:pPr>
              <w:ind w:firstLine="601"/>
              <w:jc w:val="both"/>
              <w:rPr>
                <w:rFonts w:ascii="Arial" w:hAnsi="Arial" w:cs="Arial"/>
                <w:b/>
                <w:sz w:val="22"/>
                <w:szCs w:val="22"/>
                <w:u w:val="single"/>
              </w:rPr>
            </w:pPr>
            <w:r w:rsidRPr="00CA1306">
              <w:rPr>
                <w:rFonts w:ascii="Arial" w:hAnsi="Arial" w:cs="Arial"/>
                <w:sz w:val="22"/>
                <w:szCs w:val="22"/>
              </w:rPr>
              <w:t xml:space="preserve">Ortak komisyon raporu doğrultusunda; </w:t>
            </w:r>
          </w:p>
          <w:p w:rsidR="008D7392" w:rsidRPr="008D7392" w:rsidRDefault="008D7392" w:rsidP="001F4AE3">
            <w:pPr>
              <w:pStyle w:val="ListeParagraf"/>
              <w:numPr>
                <w:ilvl w:val="0"/>
                <w:numId w:val="5"/>
              </w:numPr>
              <w:spacing w:line="276" w:lineRule="auto"/>
              <w:ind w:left="567" w:hanging="567"/>
              <w:jc w:val="both"/>
              <w:rPr>
                <w:rFonts w:ascii="Arial" w:hAnsi="Arial" w:cs="Arial"/>
                <w:sz w:val="22"/>
                <w:szCs w:val="22"/>
              </w:rPr>
            </w:pPr>
            <w:r w:rsidRPr="009C50C1">
              <w:rPr>
                <w:rFonts w:ascii="Arial" w:hAnsi="Arial" w:cs="Arial"/>
                <w:sz w:val="22"/>
                <w:szCs w:val="22"/>
              </w:rPr>
              <w:t>Sayfa 7’de</w:t>
            </w:r>
            <w:r w:rsidRPr="008D7392">
              <w:rPr>
                <w:rFonts w:ascii="Arial" w:hAnsi="Arial" w:cs="Arial"/>
                <w:sz w:val="22"/>
                <w:szCs w:val="22"/>
              </w:rPr>
              <w:t xml:space="preserve"> bulunan 2025 yılı nüfus ve yüzölçümü tablosunun güncellenmesine, </w:t>
            </w:r>
            <w:r w:rsidRPr="009C50C1">
              <w:rPr>
                <w:rFonts w:ascii="Arial" w:hAnsi="Arial" w:cs="Arial"/>
                <w:sz w:val="22"/>
                <w:szCs w:val="22"/>
              </w:rPr>
              <w:t>Sayfa 13’te</w:t>
            </w:r>
            <w:r w:rsidRPr="008D7392">
              <w:rPr>
                <w:rFonts w:ascii="Arial" w:hAnsi="Arial" w:cs="Arial"/>
                <w:sz w:val="22"/>
                <w:szCs w:val="22"/>
              </w:rPr>
              <w:t xml:space="preserve"> bulunan Meclis Başkanlık Divanı bölümünde yer alan “</w:t>
            </w:r>
            <w:r w:rsidRPr="009C50C1">
              <w:rPr>
                <w:rFonts w:ascii="Arial" w:hAnsi="Arial" w:cs="Arial"/>
                <w:sz w:val="22"/>
                <w:szCs w:val="22"/>
              </w:rPr>
              <w:t>İlk mahalli idareler seçimine kadar”</w:t>
            </w:r>
            <w:r w:rsidRPr="008D7392">
              <w:rPr>
                <w:rFonts w:ascii="Arial" w:hAnsi="Arial" w:cs="Arial"/>
                <w:sz w:val="22"/>
                <w:szCs w:val="22"/>
              </w:rPr>
              <w:t xml:space="preserve"> olan kısım kaldırılarak yerine “</w:t>
            </w:r>
            <w:r w:rsidRPr="009C50C1">
              <w:rPr>
                <w:rFonts w:ascii="Arial" w:hAnsi="Arial" w:cs="Arial"/>
                <w:sz w:val="22"/>
                <w:szCs w:val="22"/>
              </w:rPr>
              <w:t>İlk iki yıl için seçilen</w:t>
            </w:r>
            <w:r w:rsidRPr="008D7392">
              <w:rPr>
                <w:rFonts w:ascii="Arial" w:hAnsi="Arial" w:cs="Arial"/>
                <w:sz w:val="22"/>
                <w:szCs w:val="22"/>
              </w:rPr>
              <w:t xml:space="preserve">” ifadesinin yazılmasına, </w:t>
            </w:r>
          </w:p>
          <w:p w:rsidR="008D7392" w:rsidRPr="008D7392" w:rsidRDefault="008D7392" w:rsidP="001F4AE3">
            <w:pPr>
              <w:pStyle w:val="ListeParagraf"/>
              <w:numPr>
                <w:ilvl w:val="0"/>
                <w:numId w:val="5"/>
              </w:numPr>
              <w:spacing w:line="276" w:lineRule="auto"/>
              <w:ind w:left="567" w:hanging="567"/>
              <w:jc w:val="both"/>
              <w:rPr>
                <w:rFonts w:ascii="Arial" w:hAnsi="Arial" w:cs="Arial"/>
                <w:sz w:val="22"/>
                <w:szCs w:val="22"/>
              </w:rPr>
            </w:pPr>
            <w:r w:rsidRPr="009C50C1">
              <w:rPr>
                <w:rFonts w:ascii="Arial" w:hAnsi="Arial" w:cs="Arial"/>
                <w:sz w:val="22"/>
                <w:szCs w:val="22"/>
              </w:rPr>
              <w:t>Sayfa 15’te</w:t>
            </w:r>
            <w:r w:rsidRPr="008D7392">
              <w:rPr>
                <w:rFonts w:ascii="Arial" w:hAnsi="Arial" w:cs="Arial"/>
                <w:sz w:val="22"/>
                <w:szCs w:val="22"/>
              </w:rPr>
              <w:t xml:space="preserve"> bulunan 2025 yılı için seçilen Denetim Komisyonu üyelerine ek olarak 2026 yılında seçilen üyelerin isimlerinin de yazılmasına; </w:t>
            </w:r>
            <w:r w:rsidRPr="009C50C1">
              <w:rPr>
                <w:rFonts w:ascii="Arial" w:hAnsi="Arial" w:cs="Arial"/>
                <w:sz w:val="22"/>
                <w:szCs w:val="22"/>
              </w:rPr>
              <w:t>sayfa 18’de</w:t>
            </w:r>
            <w:r w:rsidRPr="008D7392">
              <w:rPr>
                <w:rFonts w:ascii="Arial" w:hAnsi="Arial" w:cs="Arial"/>
                <w:sz w:val="22"/>
                <w:szCs w:val="22"/>
              </w:rPr>
              <w:t xml:space="preserve"> bulunan Kadroya Göre Doluluk Tablosundaki boş memur kadrosu sayısının da </w:t>
            </w:r>
            <w:r w:rsidRPr="009C50C1">
              <w:rPr>
                <w:rFonts w:ascii="Arial" w:hAnsi="Arial" w:cs="Arial"/>
                <w:sz w:val="22"/>
                <w:szCs w:val="22"/>
              </w:rPr>
              <w:t>183</w:t>
            </w:r>
            <w:r w:rsidRPr="008D7392">
              <w:rPr>
                <w:rFonts w:ascii="Arial" w:hAnsi="Arial" w:cs="Arial"/>
                <w:sz w:val="22"/>
                <w:szCs w:val="22"/>
              </w:rPr>
              <w:t xml:space="preserve"> olarak düzeltilmesine,</w:t>
            </w:r>
          </w:p>
          <w:p w:rsidR="008D7392" w:rsidRPr="008D7392" w:rsidRDefault="008D7392" w:rsidP="001F4AE3">
            <w:pPr>
              <w:pStyle w:val="ListeParagraf"/>
              <w:numPr>
                <w:ilvl w:val="0"/>
                <w:numId w:val="5"/>
              </w:numPr>
              <w:spacing w:line="276" w:lineRule="auto"/>
              <w:ind w:left="567" w:hanging="533"/>
              <w:jc w:val="both"/>
              <w:rPr>
                <w:rFonts w:ascii="Arial" w:hAnsi="Arial" w:cs="Arial"/>
                <w:sz w:val="22"/>
                <w:szCs w:val="22"/>
              </w:rPr>
            </w:pPr>
            <w:proofErr w:type="gramStart"/>
            <w:r w:rsidRPr="009C50C1">
              <w:rPr>
                <w:rFonts w:ascii="Arial" w:hAnsi="Arial" w:cs="Arial"/>
                <w:sz w:val="22"/>
                <w:szCs w:val="22"/>
              </w:rPr>
              <w:t>Sayfa 34’te</w:t>
            </w:r>
            <w:r w:rsidRPr="008D7392">
              <w:rPr>
                <w:rFonts w:ascii="Arial" w:hAnsi="Arial" w:cs="Arial"/>
                <w:sz w:val="22"/>
                <w:szCs w:val="22"/>
              </w:rPr>
              <w:t xml:space="preserve"> bulunan Bütçe Uygulama Sonuçları tablosunda yer alan “Bütçe Gelirleri” ifadesinin “</w:t>
            </w:r>
            <w:r w:rsidRPr="009C50C1">
              <w:rPr>
                <w:rFonts w:ascii="Arial" w:hAnsi="Arial" w:cs="Arial"/>
                <w:sz w:val="22"/>
                <w:szCs w:val="22"/>
              </w:rPr>
              <w:t>Bütçe Giderleri”,</w:t>
            </w:r>
            <w:r w:rsidRPr="008D7392">
              <w:rPr>
                <w:rFonts w:ascii="Arial" w:hAnsi="Arial" w:cs="Arial"/>
                <w:sz w:val="22"/>
                <w:szCs w:val="22"/>
              </w:rPr>
              <w:t xml:space="preserve"> “Bütçe Giderleri” ifadesinin de “</w:t>
            </w:r>
            <w:r w:rsidRPr="009C50C1">
              <w:rPr>
                <w:rFonts w:ascii="Arial" w:hAnsi="Arial" w:cs="Arial"/>
                <w:sz w:val="22"/>
                <w:szCs w:val="22"/>
              </w:rPr>
              <w:t>Bütçe Gelirleri</w:t>
            </w:r>
            <w:r w:rsidRPr="008D7392">
              <w:rPr>
                <w:rFonts w:ascii="Arial" w:hAnsi="Arial" w:cs="Arial"/>
                <w:sz w:val="22"/>
                <w:szCs w:val="22"/>
              </w:rPr>
              <w:t xml:space="preserve">” olarak düzeltilmesine; </w:t>
            </w:r>
            <w:r w:rsidRPr="009C50C1">
              <w:rPr>
                <w:rFonts w:ascii="Arial" w:hAnsi="Arial" w:cs="Arial"/>
                <w:sz w:val="22"/>
                <w:szCs w:val="22"/>
              </w:rPr>
              <w:t>sayfa 35’te</w:t>
            </w:r>
            <w:r w:rsidRPr="008D7392">
              <w:rPr>
                <w:rFonts w:ascii="Arial" w:hAnsi="Arial" w:cs="Arial"/>
                <w:sz w:val="22"/>
                <w:szCs w:val="22"/>
              </w:rPr>
              <w:t xml:space="preserve"> bulunan Gelir bütçesi Tablosunda yer alan “2025 yılından devreden Gelir Tahakkuku” ifadesindeki tarihin </w:t>
            </w:r>
            <w:r w:rsidRPr="009C50C1">
              <w:rPr>
                <w:rFonts w:ascii="Arial" w:hAnsi="Arial" w:cs="Arial"/>
                <w:b/>
                <w:sz w:val="22"/>
                <w:szCs w:val="22"/>
              </w:rPr>
              <w:t>“</w:t>
            </w:r>
            <w:r w:rsidRPr="00CA1306">
              <w:rPr>
                <w:rFonts w:ascii="Arial" w:hAnsi="Arial" w:cs="Arial"/>
                <w:sz w:val="22"/>
                <w:szCs w:val="22"/>
              </w:rPr>
              <w:t>2024</w:t>
            </w:r>
            <w:r w:rsidRPr="009C50C1">
              <w:rPr>
                <w:rFonts w:ascii="Arial" w:hAnsi="Arial" w:cs="Arial"/>
                <w:b/>
                <w:sz w:val="22"/>
                <w:szCs w:val="22"/>
              </w:rPr>
              <w:t>”</w:t>
            </w:r>
            <w:r w:rsidRPr="008D7392">
              <w:rPr>
                <w:rFonts w:ascii="Arial" w:hAnsi="Arial" w:cs="Arial"/>
                <w:sz w:val="22"/>
                <w:szCs w:val="22"/>
              </w:rPr>
              <w:t xml:space="preserve"> yılı olarak değiştirilmesine; “Yılı Tahakkuk” bölümüne de </w:t>
            </w:r>
            <w:r w:rsidRPr="008D7392">
              <w:rPr>
                <w:rFonts w:ascii="Arial" w:hAnsi="Arial" w:cs="Arial"/>
                <w:b/>
                <w:sz w:val="22"/>
                <w:szCs w:val="22"/>
              </w:rPr>
              <w:t>“</w:t>
            </w:r>
            <w:r w:rsidRPr="009C50C1">
              <w:rPr>
                <w:rFonts w:ascii="Arial" w:hAnsi="Arial" w:cs="Arial"/>
                <w:sz w:val="22"/>
                <w:szCs w:val="22"/>
              </w:rPr>
              <w:t>2025”</w:t>
            </w:r>
            <w:r w:rsidRPr="008D7392">
              <w:rPr>
                <w:rFonts w:ascii="Arial" w:hAnsi="Arial" w:cs="Arial"/>
                <w:sz w:val="22"/>
                <w:szCs w:val="22"/>
              </w:rPr>
              <w:t xml:space="preserve"> yılının eklenmesine</w:t>
            </w:r>
            <w:r w:rsidRPr="008D7392">
              <w:rPr>
                <w:rFonts w:ascii="Arial" w:hAnsi="Arial" w:cs="Arial"/>
                <w:b/>
                <w:sz w:val="22"/>
                <w:szCs w:val="22"/>
              </w:rPr>
              <w:t xml:space="preserve">; </w:t>
            </w:r>
            <w:r w:rsidRPr="009C50C1">
              <w:rPr>
                <w:rFonts w:ascii="Arial" w:hAnsi="Arial" w:cs="Arial"/>
                <w:sz w:val="22"/>
                <w:szCs w:val="22"/>
              </w:rPr>
              <w:t>sayfa 39’da</w:t>
            </w:r>
            <w:r w:rsidRPr="008D7392">
              <w:rPr>
                <w:rFonts w:ascii="Arial" w:hAnsi="Arial" w:cs="Arial"/>
                <w:sz w:val="22"/>
                <w:szCs w:val="22"/>
              </w:rPr>
              <w:t xml:space="preserve"> “1.722.545.572,71-TL” olarak yazılan gider bütçesinin de </w:t>
            </w:r>
            <w:r w:rsidRPr="008D7392">
              <w:rPr>
                <w:rFonts w:ascii="Arial" w:hAnsi="Arial" w:cs="Arial"/>
                <w:b/>
                <w:sz w:val="22"/>
                <w:szCs w:val="22"/>
              </w:rPr>
              <w:t>“</w:t>
            </w:r>
            <w:r w:rsidRPr="009C50C1">
              <w:rPr>
                <w:rFonts w:ascii="Arial" w:hAnsi="Arial" w:cs="Arial"/>
                <w:sz w:val="22"/>
                <w:szCs w:val="22"/>
              </w:rPr>
              <w:t>1.723.996.164,31 TL”</w:t>
            </w:r>
            <w:r w:rsidRPr="008D7392">
              <w:rPr>
                <w:rFonts w:ascii="Arial" w:hAnsi="Arial" w:cs="Arial"/>
                <w:sz w:val="22"/>
                <w:szCs w:val="22"/>
              </w:rPr>
              <w:t xml:space="preserve"> olarak düzeltilmesine, </w:t>
            </w:r>
            <w:proofErr w:type="gramEnd"/>
          </w:p>
          <w:p w:rsidR="008D7392" w:rsidRPr="008D7392" w:rsidRDefault="008D7392" w:rsidP="001F4AE3">
            <w:pPr>
              <w:pStyle w:val="ListeParagraf"/>
              <w:numPr>
                <w:ilvl w:val="0"/>
                <w:numId w:val="5"/>
              </w:numPr>
              <w:spacing w:line="276" w:lineRule="auto"/>
              <w:ind w:left="567" w:hanging="533"/>
              <w:jc w:val="both"/>
              <w:rPr>
                <w:rFonts w:ascii="Arial" w:hAnsi="Arial" w:cs="Arial"/>
                <w:sz w:val="22"/>
                <w:szCs w:val="22"/>
              </w:rPr>
            </w:pPr>
            <w:r w:rsidRPr="009C50C1">
              <w:rPr>
                <w:rFonts w:ascii="Arial" w:hAnsi="Arial" w:cs="Arial"/>
                <w:sz w:val="22"/>
                <w:szCs w:val="22"/>
              </w:rPr>
              <w:t>Sayfa 57’de</w:t>
            </w:r>
            <w:r w:rsidRPr="008D7392">
              <w:rPr>
                <w:rFonts w:ascii="Arial" w:hAnsi="Arial" w:cs="Arial"/>
                <w:sz w:val="22"/>
                <w:szCs w:val="22"/>
              </w:rPr>
              <w:t xml:space="preserve"> bulunan toplam yeşil alan miktarına </w:t>
            </w:r>
            <w:proofErr w:type="spellStart"/>
            <w:r w:rsidRPr="008D7392">
              <w:rPr>
                <w:rFonts w:ascii="Arial" w:hAnsi="Arial" w:cs="Arial"/>
                <w:sz w:val="22"/>
                <w:szCs w:val="22"/>
              </w:rPr>
              <w:t>Eğriçam</w:t>
            </w:r>
            <w:proofErr w:type="spellEnd"/>
            <w:r w:rsidRPr="008D7392">
              <w:rPr>
                <w:rFonts w:ascii="Arial" w:hAnsi="Arial" w:cs="Arial"/>
                <w:sz w:val="22"/>
                <w:szCs w:val="22"/>
              </w:rPr>
              <w:t xml:space="preserve"> Mahallesi 2224 sokakta yapılan 50 m2 </w:t>
            </w:r>
            <w:proofErr w:type="spellStart"/>
            <w:r w:rsidRPr="008D7392">
              <w:rPr>
                <w:rFonts w:ascii="Arial" w:hAnsi="Arial" w:cs="Arial"/>
                <w:sz w:val="22"/>
                <w:szCs w:val="22"/>
              </w:rPr>
              <w:t>lik</w:t>
            </w:r>
            <w:proofErr w:type="spellEnd"/>
            <w:r w:rsidRPr="008D7392">
              <w:rPr>
                <w:rFonts w:ascii="Arial" w:hAnsi="Arial" w:cs="Arial"/>
                <w:sz w:val="22"/>
                <w:szCs w:val="22"/>
              </w:rPr>
              <w:t xml:space="preserve"> yeşil alan miktarı eklenerek </w:t>
            </w:r>
            <w:r w:rsidRPr="008D7392">
              <w:rPr>
                <w:rFonts w:ascii="Arial" w:hAnsi="Arial" w:cs="Arial"/>
                <w:b/>
                <w:sz w:val="22"/>
                <w:szCs w:val="22"/>
              </w:rPr>
              <w:t>“</w:t>
            </w:r>
            <w:r w:rsidRPr="009C50C1">
              <w:rPr>
                <w:rFonts w:ascii="Arial" w:hAnsi="Arial" w:cs="Arial"/>
                <w:sz w:val="22"/>
                <w:szCs w:val="22"/>
              </w:rPr>
              <w:t>15.138 m2</w:t>
            </w:r>
            <w:r w:rsidRPr="008D7392">
              <w:rPr>
                <w:rFonts w:ascii="Arial" w:hAnsi="Arial" w:cs="Arial"/>
                <w:b/>
                <w:sz w:val="22"/>
                <w:szCs w:val="22"/>
              </w:rPr>
              <w:t>”</w:t>
            </w:r>
            <w:r w:rsidRPr="008D7392">
              <w:rPr>
                <w:rFonts w:ascii="Arial" w:hAnsi="Arial" w:cs="Arial"/>
                <w:sz w:val="22"/>
                <w:szCs w:val="22"/>
              </w:rPr>
              <w:t xml:space="preserve"> yeşil alan miktarının </w:t>
            </w:r>
            <w:r w:rsidRPr="008D7392">
              <w:rPr>
                <w:rFonts w:ascii="Arial" w:hAnsi="Arial" w:cs="Arial"/>
                <w:b/>
                <w:sz w:val="22"/>
                <w:szCs w:val="22"/>
              </w:rPr>
              <w:t>“</w:t>
            </w:r>
            <w:r w:rsidRPr="009C50C1">
              <w:rPr>
                <w:rFonts w:ascii="Arial" w:hAnsi="Arial" w:cs="Arial"/>
                <w:sz w:val="22"/>
                <w:szCs w:val="22"/>
              </w:rPr>
              <w:t>15.188 m2</w:t>
            </w:r>
            <w:r w:rsidRPr="008D7392">
              <w:rPr>
                <w:rFonts w:ascii="Arial" w:hAnsi="Arial" w:cs="Arial"/>
                <w:b/>
                <w:sz w:val="22"/>
                <w:szCs w:val="22"/>
              </w:rPr>
              <w:t>”</w:t>
            </w:r>
            <w:r w:rsidRPr="008D7392">
              <w:rPr>
                <w:rFonts w:ascii="Arial" w:hAnsi="Arial" w:cs="Arial"/>
                <w:sz w:val="22"/>
                <w:szCs w:val="22"/>
              </w:rPr>
              <w:t xml:space="preserve"> olarak düzeltilmesine, </w:t>
            </w:r>
          </w:p>
          <w:p w:rsidR="00D224DA" w:rsidRDefault="008D7392" w:rsidP="001F4AE3">
            <w:pPr>
              <w:pStyle w:val="ListeParagraf"/>
              <w:numPr>
                <w:ilvl w:val="0"/>
                <w:numId w:val="5"/>
              </w:numPr>
              <w:spacing w:after="120" w:line="276" w:lineRule="auto"/>
              <w:ind w:left="567" w:hanging="567"/>
              <w:jc w:val="both"/>
            </w:pPr>
            <w:r w:rsidRPr="009C50C1">
              <w:rPr>
                <w:rFonts w:ascii="Arial" w:hAnsi="Arial" w:cs="Arial"/>
                <w:sz w:val="22"/>
                <w:szCs w:val="22"/>
              </w:rPr>
              <w:t>Sayfa 140’ta</w:t>
            </w:r>
            <w:r w:rsidRPr="008D7392">
              <w:rPr>
                <w:rFonts w:ascii="Arial" w:hAnsi="Arial" w:cs="Arial"/>
                <w:sz w:val="22"/>
                <w:szCs w:val="22"/>
              </w:rPr>
              <w:t xml:space="preserve"> yer alan performans sonuçları tablosundaki PG1.</w:t>
            </w:r>
            <w:proofErr w:type="gramStart"/>
            <w:r w:rsidRPr="008D7392">
              <w:rPr>
                <w:rFonts w:ascii="Arial" w:hAnsi="Arial" w:cs="Arial"/>
                <w:sz w:val="22"/>
                <w:szCs w:val="22"/>
              </w:rPr>
              <w:t>1.1</w:t>
            </w:r>
            <w:proofErr w:type="gramEnd"/>
            <w:r w:rsidRPr="008D7392">
              <w:rPr>
                <w:rFonts w:ascii="Arial" w:hAnsi="Arial" w:cs="Arial"/>
                <w:sz w:val="22"/>
                <w:szCs w:val="22"/>
              </w:rPr>
              <w:t xml:space="preserve"> Kalite Yönetim Sistemi Sayısının Arttırılmasına ait 2025 yılı hedef değerinin </w:t>
            </w:r>
            <w:r w:rsidRPr="00CA1306">
              <w:rPr>
                <w:rFonts w:ascii="Arial" w:hAnsi="Arial" w:cs="Arial"/>
                <w:sz w:val="22"/>
                <w:szCs w:val="22"/>
              </w:rPr>
              <w:t>“1</w:t>
            </w:r>
            <w:r w:rsidRPr="008D7392">
              <w:rPr>
                <w:rFonts w:ascii="Arial" w:hAnsi="Arial" w:cs="Arial"/>
                <w:sz w:val="22"/>
                <w:szCs w:val="22"/>
              </w:rPr>
              <w:t>”, gerçekleşme oranının da “</w:t>
            </w:r>
            <w:r w:rsidRPr="009C50C1">
              <w:rPr>
                <w:rFonts w:ascii="Arial" w:hAnsi="Arial" w:cs="Arial"/>
                <w:sz w:val="22"/>
                <w:szCs w:val="22"/>
              </w:rPr>
              <w:t>100%</w:t>
            </w:r>
            <w:r w:rsidRPr="008D7392">
              <w:rPr>
                <w:rFonts w:ascii="Arial" w:hAnsi="Arial" w:cs="Arial"/>
                <w:sz w:val="22"/>
                <w:szCs w:val="22"/>
              </w:rPr>
              <w:t xml:space="preserve">” olarak düzeltilmesine; </w:t>
            </w:r>
            <w:r w:rsidRPr="009C50C1">
              <w:rPr>
                <w:rFonts w:ascii="Arial" w:hAnsi="Arial" w:cs="Arial"/>
                <w:sz w:val="22"/>
                <w:szCs w:val="22"/>
              </w:rPr>
              <w:t>sayfa 147’de</w:t>
            </w:r>
            <w:r w:rsidRPr="008D7392">
              <w:rPr>
                <w:rFonts w:ascii="Arial" w:hAnsi="Arial" w:cs="Arial"/>
                <w:sz w:val="22"/>
                <w:szCs w:val="22"/>
              </w:rPr>
              <w:t xml:space="preserve"> bulunan PG2.3.1 Yeşil Alan Artış Miktarına ait 2025 yılı gerçekleşme değerinin </w:t>
            </w:r>
            <w:r w:rsidRPr="009C50C1">
              <w:rPr>
                <w:rFonts w:ascii="Arial" w:hAnsi="Arial" w:cs="Arial"/>
                <w:sz w:val="22"/>
                <w:szCs w:val="22"/>
              </w:rPr>
              <w:t>“15.188”,</w:t>
            </w:r>
            <w:r w:rsidRPr="008D7392">
              <w:rPr>
                <w:rFonts w:ascii="Arial" w:hAnsi="Arial" w:cs="Arial"/>
                <w:sz w:val="22"/>
                <w:szCs w:val="22"/>
              </w:rPr>
              <w:t xml:space="preserve"> gerçekleşme oranının da “</w:t>
            </w:r>
            <w:r w:rsidRPr="009C50C1">
              <w:rPr>
                <w:rFonts w:ascii="Arial" w:hAnsi="Arial" w:cs="Arial"/>
                <w:sz w:val="22"/>
                <w:szCs w:val="22"/>
              </w:rPr>
              <w:t>151.88%”</w:t>
            </w:r>
            <w:r w:rsidRPr="008D7392">
              <w:rPr>
                <w:rFonts w:ascii="Arial" w:hAnsi="Arial" w:cs="Arial"/>
                <w:sz w:val="22"/>
                <w:szCs w:val="22"/>
              </w:rPr>
              <w:t xml:space="preserve"> olarak düzeltilmesine, </w:t>
            </w:r>
            <w:r w:rsidRPr="009C50C1">
              <w:rPr>
                <w:rFonts w:ascii="Arial" w:hAnsi="Arial" w:cs="Arial"/>
                <w:sz w:val="22"/>
                <w:szCs w:val="22"/>
              </w:rPr>
              <w:t>sayfa 150’de</w:t>
            </w:r>
            <w:r w:rsidRPr="008D7392">
              <w:rPr>
                <w:rFonts w:ascii="Arial" w:hAnsi="Arial" w:cs="Arial"/>
                <w:sz w:val="22"/>
                <w:szCs w:val="22"/>
              </w:rPr>
              <w:t xml:space="preserve"> bulunan PG3.1.6 Kütüphane Hizmetlerinden Yararlanan Kişi Sayısına ait 2025 gerçekleşme değerinin </w:t>
            </w:r>
            <w:r w:rsidRPr="008D7392">
              <w:rPr>
                <w:rFonts w:ascii="Arial" w:hAnsi="Arial" w:cs="Arial"/>
                <w:b/>
                <w:sz w:val="22"/>
                <w:szCs w:val="22"/>
              </w:rPr>
              <w:t>“</w:t>
            </w:r>
            <w:r w:rsidRPr="009C50C1">
              <w:rPr>
                <w:rFonts w:ascii="Arial" w:hAnsi="Arial" w:cs="Arial"/>
                <w:sz w:val="22"/>
                <w:szCs w:val="22"/>
              </w:rPr>
              <w:t>37.656</w:t>
            </w:r>
            <w:r w:rsidRPr="008D7392">
              <w:rPr>
                <w:rFonts w:ascii="Arial" w:hAnsi="Arial" w:cs="Arial"/>
                <w:sz w:val="22"/>
                <w:szCs w:val="22"/>
              </w:rPr>
              <w:t>”, gerçekleşme oranının da “</w:t>
            </w:r>
            <w:r w:rsidRPr="009C50C1">
              <w:rPr>
                <w:rFonts w:ascii="Arial" w:hAnsi="Arial" w:cs="Arial"/>
                <w:sz w:val="22"/>
                <w:szCs w:val="22"/>
              </w:rPr>
              <w:t>125</w:t>
            </w:r>
            <w:r w:rsidRPr="008D7392">
              <w:rPr>
                <w:rFonts w:ascii="Arial" w:hAnsi="Arial" w:cs="Arial"/>
                <w:sz w:val="22"/>
                <w:szCs w:val="22"/>
              </w:rPr>
              <w:t xml:space="preserve">%” olarak düzeltilmesine; </w:t>
            </w:r>
            <w:r w:rsidRPr="009C50C1">
              <w:rPr>
                <w:rFonts w:ascii="Arial" w:hAnsi="Arial" w:cs="Arial"/>
                <w:sz w:val="22"/>
                <w:szCs w:val="22"/>
              </w:rPr>
              <w:t>sayfa 156’da</w:t>
            </w:r>
            <w:r w:rsidRPr="008D7392">
              <w:rPr>
                <w:rFonts w:ascii="Arial" w:hAnsi="Arial" w:cs="Arial"/>
                <w:sz w:val="22"/>
                <w:szCs w:val="22"/>
              </w:rPr>
              <w:t xml:space="preserve"> bulunan performans göstergelerine ait sapma nedenlerine ait açıklamaların düzeltilmesi</w:t>
            </w:r>
            <w:r w:rsidR="001419E4">
              <w:rPr>
                <w:rFonts w:ascii="Arial" w:hAnsi="Arial" w:cs="Arial"/>
                <w:sz w:val="22"/>
                <w:szCs w:val="22"/>
              </w:rPr>
              <w:t xml:space="preserve"> yapılarak idareden geldiği şekliyle kabulüne oy birliği ile karar verildi.</w:t>
            </w: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419E4" w:rsidRDefault="001419E4" w:rsidP="001419E4">
            <w:pPr>
              <w:pStyle w:val="Balk1"/>
              <w:rPr>
                <w:rFonts w:eastAsiaTheme="minorEastAsia"/>
                <w:szCs w:val="24"/>
              </w:rPr>
            </w:pPr>
            <w:r>
              <w:rPr>
                <w:rFonts w:eastAsiaTheme="minorEastAsia"/>
                <w:szCs w:val="24"/>
              </w:rPr>
              <w:t>MECLİS 1. BAŞKAN V.</w:t>
            </w:r>
          </w:p>
          <w:p w:rsidR="007E33C8" w:rsidRPr="008B5580" w:rsidRDefault="001419E4" w:rsidP="001419E4">
            <w:pPr>
              <w:jc w:val="center"/>
              <w:rPr>
                <w:b/>
                <w:sz w:val="24"/>
                <w:szCs w:val="24"/>
              </w:rPr>
            </w:pPr>
            <w:r>
              <w:rPr>
                <w:b/>
                <w:sz w:val="24"/>
                <w:szCs w:val="24"/>
              </w:rPr>
              <w:t>Musa TAŞ</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CA1306" w:rsidRDefault="00CA1306" w:rsidP="00CA1306">
            <w:pPr>
              <w:pStyle w:val="Balk1"/>
              <w:rPr>
                <w:rFonts w:eastAsiaTheme="minorEastAsia"/>
                <w:szCs w:val="24"/>
              </w:rPr>
            </w:pPr>
            <w:proofErr w:type="gramStart"/>
            <w:r>
              <w:rPr>
                <w:rFonts w:eastAsiaTheme="minorEastAsia"/>
                <w:szCs w:val="24"/>
              </w:rPr>
              <w:t>KATİP</w:t>
            </w:r>
            <w:proofErr w:type="gramEnd"/>
          </w:p>
          <w:p w:rsidR="007E33C8" w:rsidRDefault="00CA1306" w:rsidP="00CA1306">
            <w:pPr>
              <w:jc w:val="center"/>
              <w:rPr>
                <w:b/>
                <w:sz w:val="24"/>
                <w:szCs w:val="24"/>
              </w:rPr>
            </w:pPr>
            <w:r>
              <w:rPr>
                <w:b/>
                <w:sz w:val="24"/>
                <w:szCs w:val="24"/>
              </w:rPr>
              <w:t>Sevil YEŞİL</w:t>
            </w:r>
          </w:p>
        </w:tc>
      </w:tr>
    </w:tbl>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hukuka aykırı görülmemiştir. ……/0</w:t>
      </w:r>
      <w:r w:rsidR="000F7AD9">
        <w:rPr>
          <w:rFonts w:ascii="Arial" w:hAnsi="Arial" w:cs="Arial"/>
          <w:sz w:val="18"/>
          <w:szCs w:val="18"/>
        </w:rPr>
        <w:t>4</w:t>
      </w:r>
      <w:r>
        <w:rPr>
          <w:rFonts w:ascii="Arial" w:hAnsi="Arial" w:cs="Arial"/>
          <w:sz w:val="18"/>
          <w:szCs w:val="18"/>
        </w:rPr>
        <w:t>/2026</w:t>
      </w: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B5580" w:rsidRDefault="00107547" w:rsidP="00107547">
      <w:pPr>
        <w:rPr>
          <w:rFonts w:ascii="Arial" w:hAnsi="Arial" w:cs="Arial"/>
          <w:sz w:val="18"/>
          <w:szCs w:val="18"/>
        </w:rPr>
      </w:pPr>
      <w:r>
        <w:rPr>
          <w:rFonts w:ascii="Arial" w:hAnsi="Arial" w:cs="Arial"/>
          <w:sz w:val="18"/>
          <w:szCs w:val="18"/>
        </w:rPr>
        <w:t xml:space="preserve">                                                                                                                                                   Belediye Başkanı</w:t>
      </w:r>
    </w:p>
    <w:sectPr w:rsidR="008B5580" w:rsidSect="006D7FB0">
      <w:headerReference w:type="default" r:id="rId7"/>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9E4" w:rsidRDefault="001419E4">
      <w:r>
        <w:separator/>
      </w:r>
    </w:p>
  </w:endnote>
  <w:endnote w:type="continuationSeparator" w:id="0">
    <w:p w:rsidR="001419E4" w:rsidRDefault="001419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9E4" w:rsidRDefault="001419E4">
      <w:r>
        <w:separator/>
      </w:r>
    </w:p>
  </w:footnote>
  <w:footnote w:type="continuationSeparator" w:id="0">
    <w:p w:rsidR="001419E4" w:rsidRDefault="001419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1419E4">
      <w:tc>
        <w:tcPr>
          <w:tcW w:w="10206" w:type="dxa"/>
          <w:gridSpan w:val="3"/>
          <w:tcBorders>
            <w:top w:val="nil"/>
            <w:left w:val="nil"/>
            <w:bottom w:val="nil"/>
            <w:right w:val="nil"/>
          </w:tcBorders>
        </w:tcPr>
        <w:p w:rsidR="001419E4" w:rsidRDefault="001419E4">
          <w:pPr>
            <w:rPr>
              <w:b/>
              <w:sz w:val="24"/>
            </w:rPr>
          </w:pPr>
          <w:r>
            <w:rPr>
              <w:b/>
              <w:sz w:val="24"/>
            </w:rPr>
            <w:t>T.C.</w:t>
          </w:r>
        </w:p>
        <w:p w:rsidR="001419E4" w:rsidRDefault="001419E4">
          <w:pPr>
            <w:pStyle w:val="Balk3"/>
          </w:pPr>
          <w:r>
            <w:t>MERSİN YENİŞEHİR</w:t>
          </w:r>
        </w:p>
        <w:p w:rsidR="001419E4" w:rsidRDefault="001419E4">
          <w:r>
            <w:rPr>
              <w:b/>
              <w:sz w:val="24"/>
            </w:rPr>
            <w:t>BELEDİYE MECLİSİ</w:t>
          </w:r>
        </w:p>
      </w:tc>
    </w:tr>
    <w:tr w:rsidR="001419E4" w:rsidTr="00D94B7E">
      <w:trPr>
        <w:cantSplit/>
      </w:trPr>
      <w:tc>
        <w:tcPr>
          <w:tcW w:w="1843" w:type="dxa"/>
          <w:tcBorders>
            <w:top w:val="nil"/>
            <w:left w:val="nil"/>
            <w:bottom w:val="nil"/>
            <w:right w:val="nil"/>
          </w:tcBorders>
        </w:tcPr>
        <w:p w:rsidR="001419E4" w:rsidRDefault="001419E4">
          <w:pPr>
            <w:rPr>
              <w:b/>
              <w:sz w:val="24"/>
            </w:rPr>
          </w:pPr>
        </w:p>
      </w:tc>
      <w:tc>
        <w:tcPr>
          <w:tcW w:w="3959" w:type="dxa"/>
          <w:tcBorders>
            <w:top w:val="nil"/>
            <w:left w:val="nil"/>
            <w:bottom w:val="nil"/>
            <w:right w:val="nil"/>
          </w:tcBorders>
        </w:tcPr>
        <w:p w:rsidR="001419E4" w:rsidRDefault="001419E4">
          <w:pPr>
            <w:pStyle w:val="Balk2"/>
            <w:jc w:val="left"/>
          </w:pPr>
        </w:p>
      </w:tc>
      <w:tc>
        <w:tcPr>
          <w:tcW w:w="4404" w:type="dxa"/>
          <w:tcBorders>
            <w:top w:val="nil"/>
            <w:left w:val="nil"/>
            <w:bottom w:val="nil"/>
            <w:right w:val="nil"/>
          </w:tcBorders>
        </w:tcPr>
        <w:p w:rsidR="001419E4" w:rsidRDefault="001419E4">
          <w:pPr>
            <w:pStyle w:val="Balk2"/>
            <w:rPr>
              <w:b/>
              <w:u w:val="single"/>
            </w:rPr>
          </w:pPr>
        </w:p>
      </w:tc>
    </w:tr>
    <w:tr w:rsidR="001419E4" w:rsidTr="00D94B7E">
      <w:trPr>
        <w:cantSplit/>
      </w:trPr>
      <w:tc>
        <w:tcPr>
          <w:tcW w:w="1843" w:type="dxa"/>
          <w:tcBorders>
            <w:top w:val="nil"/>
            <w:left w:val="nil"/>
            <w:bottom w:val="nil"/>
            <w:right w:val="nil"/>
          </w:tcBorders>
        </w:tcPr>
        <w:p w:rsidR="001419E4" w:rsidRDefault="001419E4">
          <w:pPr>
            <w:rPr>
              <w:sz w:val="24"/>
            </w:rPr>
          </w:pPr>
          <w:proofErr w:type="gramStart"/>
          <w:r>
            <w:rPr>
              <w:b/>
              <w:sz w:val="24"/>
            </w:rPr>
            <w:t>SAYI :</w:t>
          </w:r>
          <w:proofErr w:type="gramEnd"/>
        </w:p>
      </w:tc>
      <w:tc>
        <w:tcPr>
          <w:tcW w:w="3959" w:type="dxa"/>
          <w:tcBorders>
            <w:top w:val="nil"/>
            <w:left w:val="nil"/>
            <w:bottom w:val="nil"/>
            <w:right w:val="nil"/>
          </w:tcBorders>
        </w:tcPr>
        <w:p w:rsidR="001419E4" w:rsidRDefault="001419E4" w:rsidP="00921939">
          <w:pPr>
            <w:pStyle w:val="Balk2"/>
            <w:jc w:val="left"/>
          </w:pPr>
          <w:r>
            <w:t>120</w:t>
          </w:r>
        </w:p>
      </w:tc>
      <w:tc>
        <w:tcPr>
          <w:tcW w:w="4404" w:type="dxa"/>
          <w:tcBorders>
            <w:top w:val="nil"/>
            <w:left w:val="nil"/>
            <w:bottom w:val="nil"/>
            <w:right w:val="nil"/>
          </w:tcBorders>
        </w:tcPr>
        <w:p w:rsidR="001419E4" w:rsidRDefault="001419E4">
          <w:pPr>
            <w:pStyle w:val="Balk2"/>
            <w:rPr>
              <w:b/>
            </w:rPr>
          </w:pPr>
          <w:r>
            <w:rPr>
              <w:b/>
            </w:rPr>
            <w:t>MERSİN</w:t>
          </w:r>
        </w:p>
      </w:tc>
    </w:tr>
    <w:tr w:rsidR="001419E4" w:rsidTr="00D94B7E">
      <w:trPr>
        <w:cantSplit/>
      </w:trPr>
      <w:tc>
        <w:tcPr>
          <w:tcW w:w="1843" w:type="dxa"/>
          <w:tcBorders>
            <w:top w:val="nil"/>
            <w:left w:val="nil"/>
            <w:bottom w:val="nil"/>
            <w:right w:val="nil"/>
          </w:tcBorders>
        </w:tcPr>
        <w:p w:rsidR="001419E4" w:rsidRDefault="001419E4" w:rsidP="00D94B7E">
          <w:pPr>
            <w:rPr>
              <w:b/>
              <w:sz w:val="24"/>
            </w:rPr>
          </w:pPr>
          <w:r>
            <w:rPr>
              <w:b/>
              <w:sz w:val="24"/>
            </w:rPr>
            <w:t>OTURUM NO:</w:t>
          </w:r>
        </w:p>
      </w:tc>
      <w:tc>
        <w:tcPr>
          <w:tcW w:w="3959" w:type="dxa"/>
          <w:tcBorders>
            <w:top w:val="nil"/>
            <w:left w:val="nil"/>
            <w:bottom w:val="nil"/>
            <w:right w:val="nil"/>
          </w:tcBorders>
        </w:tcPr>
        <w:p w:rsidR="001419E4" w:rsidRDefault="001419E4" w:rsidP="00D01C05">
          <w:pPr>
            <w:pStyle w:val="Balk2"/>
            <w:jc w:val="left"/>
          </w:pPr>
          <w:r>
            <w:t>9</w:t>
          </w:r>
        </w:p>
      </w:tc>
      <w:tc>
        <w:tcPr>
          <w:tcW w:w="4404" w:type="dxa"/>
          <w:tcBorders>
            <w:top w:val="nil"/>
            <w:left w:val="nil"/>
            <w:bottom w:val="nil"/>
            <w:right w:val="nil"/>
          </w:tcBorders>
        </w:tcPr>
        <w:p w:rsidR="001419E4" w:rsidRDefault="001419E4" w:rsidP="00E54695">
          <w:pPr>
            <w:pStyle w:val="Balk2"/>
            <w:rPr>
              <w:b/>
            </w:rPr>
          </w:pPr>
          <w:r>
            <w:rPr>
              <w:b/>
            </w:rPr>
            <w:t>10.04.2026</w:t>
          </w:r>
        </w:p>
      </w:tc>
    </w:tr>
  </w:tbl>
  <w:p w:rsidR="001419E4" w:rsidRPr="001D4265" w:rsidRDefault="001419E4">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792418"/>
    <w:multiLevelType w:val="hybridMultilevel"/>
    <w:tmpl w:val="4000C6FC"/>
    <w:lvl w:ilvl="0" w:tplc="40AA2A40">
      <w:numFmt w:val="bullet"/>
      <w:lvlText w:val="-"/>
      <w:lvlJc w:val="left"/>
      <w:pPr>
        <w:ind w:left="720" w:hanging="360"/>
      </w:pPr>
      <w:rPr>
        <w:rFonts w:ascii="Calibri" w:eastAsia="Calibri" w:hAnsi="Calibri" w:cs="Calibri"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E315AC9"/>
    <w:multiLevelType w:val="hybridMultilevel"/>
    <w:tmpl w:val="4C4452F0"/>
    <w:lvl w:ilvl="0" w:tplc="2E9EBCBA">
      <w:start w:val="1"/>
      <w:numFmt w:val="decimal"/>
      <w:lvlText w:val="%1."/>
      <w:lvlJc w:val="left"/>
      <w:pPr>
        <w:ind w:left="720" w:hanging="360"/>
      </w:pPr>
      <w:rPr>
        <w:b w:val="0"/>
        <w:sz w:val="24"/>
        <w:szCs w:val="24"/>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5">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21ADE"/>
    <w:rsid w:val="00032AC6"/>
    <w:rsid w:val="000346E7"/>
    <w:rsid w:val="000356B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0F2AAB"/>
    <w:rsid w:val="000F7AD9"/>
    <w:rsid w:val="00100422"/>
    <w:rsid w:val="00100D2A"/>
    <w:rsid w:val="0010648F"/>
    <w:rsid w:val="00107547"/>
    <w:rsid w:val="00110763"/>
    <w:rsid w:val="00117250"/>
    <w:rsid w:val="00124064"/>
    <w:rsid w:val="00130847"/>
    <w:rsid w:val="00135D8B"/>
    <w:rsid w:val="0013714B"/>
    <w:rsid w:val="00140897"/>
    <w:rsid w:val="001419E4"/>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B409E"/>
    <w:rsid w:val="001C1EA6"/>
    <w:rsid w:val="001C257F"/>
    <w:rsid w:val="001D07F5"/>
    <w:rsid w:val="001D0FC8"/>
    <w:rsid w:val="001D4265"/>
    <w:rsid w:val="001D4B8C"/>
    <w:rsid w:val="001D6C63"/>
    <w:rsid w:val="001E1077"/>
    <w:rsid w:val="001E64BF"/>
    <w:rsid w:val="001F06C1"/>
    <w:rsid w:val="001F3906"/>
    <w:rsid w:val="001F4AE3"/>
    <w:rsid w:val="00200022"/>
    <w:rsid w:val="002105C4"/>
    <w:rsid w:val="002141AB"/>
    <w:rsid w:val="00214D62"/>
    <w:rsid w:val="00215189"/>
    <w:rsid w:val="002166DE"/>
    <w:rsid w:val="00217317"/>
    <w:rsid w:val="00222D11"/>
    <w:rsid w:val="0022412D"/>
    <w:rsid w:val="00226431"/>
    <w:rsid w:val="00230A4B"/>
    <w:rsid w:val="00231EF6"/>
    <w:rsid w:val="00236BB2"/>
    <w:rsid w:val="00237A53"/>
    <w:rsid w:val="002416D3"/>
    <w:rsid w:val="0024302E"/>
    <w:rsid w:val="002443FB"/>
    <w:rsid w:val="00244A01"/>
    <w:rsid w:val="00245229"/>
    <w:rsid w:val="0024622B"/>
    <w:rsid w:val="00247309"/>
    <w:rsid w:val="002476A8"/>
    <w:rsid w:val="00255338"/>
    <w:rsid w:val="002742C8"/>
    <w:rsid w:val="0027560D"/>
    <w:rsid w:val="002821C6"/>
    <w:rsid w:val="00282E66"/>
    <w:rsid w:val="0028560F"/>
    <w:rsid w:val="00296C7F"/>
    <w:rsid w:val="002A0DE9"/>
    <w:rsid w:val="002B23A4"/>
    <w:rsid w:val="002B284A"/>
    <w:rsid w:val="002B497F"/>
    <w:rsid w:val="002B6AD1"/>
    <w:rsid w:val="002B701F"/>
    <w:rsid w:val="002C4C03"/>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17D"/>
    <w:rsid w:val="00454B4F"/>
    <w:rsid w:val="00454C47"/>
    <w:rsid w:val="00460E5F"/>
    <w:rsid w:val="00461AFA"/>
    <w:rsid w:val="00462AC9"/>
    <w:rsid w:val="00463586"/>
    <w:rsid w:val="0047070E"/>
    <w:rsid w:val="00473959"/>
    <w:rsid w:val="00481B3D"/>
    <w:rsid w:val="004820E5"/>
    <w:rsid w:val="00487D48"/>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1D6"/>
    <w:rsid w:val="00557850"/>
    <w:rsid w:val="00560804"/>
    <w:rsid w:val="00561E8E"/>
    <w:rsid w:val="00570174"/>
    <w:rsid w:val="00571995"/>
    <w:rsid w:val="005722FF"/>
    <w:rsid w:val="00575CE8"/>
    <w:rsid w:val="005764DD"/>
    <w:rsid w:val="0058031C"/>
    <w:rsid w:val="00583734"/>
    <w:rsid w:val="00584C85"/>
    <w:rsid w:val="005866E2"/>
    <w:rsid w:val="00590142"/>
    <w:rsid w:val="005928E7"/>
    <w:rsid w:val="00594FC2"/>
    <w:rsid w:val="00596B92"/>
    <w:rsid w:val="005A3CA9"/>
    <w:rsid w:val="005A3D50"/>
    <w:rsid w:val="005A4653"/>
    <w:rsid w:val="005A478E"/>
    <w:rsid w:val="005A51AA"/>
    <w:rsid w:val="005A5BB2"/>
    <w:rsid w:val="005B3BA2"/>
    <w:rsid w:val="005C1021"/>
    <w:rsid w:val="005D03A6"/>
    <w:rsid w:val="005D423D"/>
    <w:rsid w:val="005E1C89"/>
    <w:rsid w:val="005E6D93"/>
    <w:rsid w:val="005F2D0F"/>
    <w:rsid w:val="005F34D5"/>
    <w:rsid w:val="005F435E"/>
    <w:rsid w:val="005F5D4F"/>
    <w:rsid w:val="00600C95"/>
    <w:rsid w:val="00604A1E"/>
    <w:rsid w:val="006104F3"/>
    <w:rsid w:val="00610EAB"/>
    <w:rsid w:val="00613B95"/>
    <w:rsid w:val="00613EC0"/>
    <w:rsid w:val="00614108"/>
    <w:rsid w:val="00621434"/>
    <w:rsid w:val="006227CD"/>
    <w:rsid w:val="0063020E"/>
    <w:rsid w:val="00637C33"/>
    <w:rsid w:val="006421C5"/>
    <w:rsid w:val="006459E2"/>
    <w:rsid w:val="006468E4"/>
    <w:rsid w:val="006546D4"/>
    <w:rsid w:val="006572C0"/>
    <w:rsid w:val="0066451C"/>
    <w:rsid w:val="00667020"/>
    <w:rsid w:val="00673207"/>
    <w:rsid w:val="00674EF5"/>
    <w:rsid w:val="006815FC"/>
    <w:rsid w:val="006819FD"/>
    <w:rsid w:val="00684497"/>
    <w:rsid w:val="00684860"/>
    <w:rsid w:val="00687750"/>
    <w:rsid w:val="0069135A"/>
    <w:rsid w:val="0069308D"/>
    <w:rsid w:val="006948DD"/>
    <w:rsid w:val="0069594C"/>
    <w:rsid w:val="006964C5"/>
    <w:rsid w:val="006978E4"/>
    <w:rsid w:val="006A174A"/>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6E91"/>
    <w:rsid w:val="00777F2F"/>
    <w:rsid w:val="00782B13"/>
    <w:rsid w:val="007879D1"/>
    <w:rsid w:val="007908C5"/>
    <w:rsid w:val="00795202"/>
    <w:rsid w:val="00795C73"/>
    <w:rsid w:val="007A2262"/>
    <w:rsid w:val="007A4006"/>
    <w:rsid w:val="007A4DE4"/>
    <w:rsid w:val="007A4F43"/>
    <w:rsid w:val="007A6E58"/>
    <w:rsid w:val="007B05D7"/>
    <w:rsid w:val="007B2BEA"/>
    <w:rsid w:val="007B3173"/>
    <w:rsid w:val="007C16CF"/>
    <w:rsid w:val="007C3D46"/>
    <w:rsid w:val="007C5718"/>
    <w:rsid w:val="007C6008"/>
    <w:rsid w:val="007C6BAE"/>
    <w:rsid w:val="007D29EF"/>
    <w:rsid w:val="007D37D0"/>
    <w:rsid w:val="007D3E11"/>
    <w:rsid w:val="007D63D2"/>
    <w:rsid w:val="007E33C8"/>
    <w:rsid w:val="007F3621"/>
    <w:rsid w:val="008001B9"/>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B5580"/>
    <w:rsid w:val="008C2D8A"/>
    <w:rsid w:val="008D474D"/>
    <w:rsid w:val="008D7392"/>
    <w:rsid w:val="008E1CF1"/>
    <w:rsid w:val="008E30F0"/>
    <w:rsid w:val="008F1F67"/>
    <w:rsid w:val="008F2CD8"/>
    <w:rsid w:val="008F3E50"/>
    <w:rsid w:val="008F65CB"/>
    <w:rsid w:val="00900778"/>
    <w:rsid w:val="0091587E"/>
    <w:rsid w:val="00921939"/>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927F7"/>
    <w:rsid w:val="009A4219"/>
    <w:rsid w:val="009B0B68"/>
    <w:rsid w:val="009B0EEE"/>
    <w:rsid w:val="009C23E9"/>
    <w:rsid w:val="009C2BAA"/>
    <w:rsid w:val="009C50C1"/>
    <w:rsid w:val="009D445C"/>
    <w:rsid w:val="009D6DF9"/>
    <w:rsid w:val="009D717E"/>
    <w:rsid w:val="009E79C2"/>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0756E"/>
    <w:rsid w:val="00B119F7"/>
    <w:rsid w:val="00B12009"/>
    <w:rsid w:val="00B229D5"/>
    <w:rsid w:val="00B335CD"/>
    <w:rsid w:val="00B36E8F"/>
    <w:rsid w:val="00B70A9C"/>
    <w:rsid w:val="00B7247B"/>
    <w:rsid w:val="00B742A8"/>
    <w:rsid w:val="00B82D59"/>
    <w:rsid w:val="00B84638"/>
    <w:rsid w:val="00B97CE9"/>
    <w:rsid w:val="00BA4D1D"/>
    <w:rsid w:val="00BA74A5"/>
    <w:rsid w:val="00BA7864"/>
    <w:rsid w:val="00BB53EE"/>
    <w:rsid w:val="00BB60BA"/>
    <w:rsid w:val="00BC05FD"/>
    <w:rsid w:val="00BC6681"/>
    <w:rsid w:val="00BC6EC6"/>
    <w:rsid w:val="00BC7B1B"/>
    <w:rsid w:val="00BD09C4"/>
    <w:rsid w:val="00BD5489"/>
    <w:rsid w:val="00BD6102"/>
    <w:rsid w:val="00BD76C8"/>
    <w:rsid w:val="00BE0BE0"/>
    <w:rsid w:val="00BE30A8"/>
    <w:rsid w:val="00BE7BC5"/>
    <w:rsid w:val="00BE7E4D"/>
    <w:rsid w:val="00BF2F5C"/>
    <w:rsid w:val="00C01341"/>
    <w:rsid w:val="00C03603"/>
    <w:rsid w:val="00C04BD3"/>
    <w:rsid w:val="00C06376"/>
    <w:rsid w:val="00C11027"/>
    <w:rsid w:val="00C12DCC"/>
    <w:rsid w:val="00C22270"/>
    <w:rsid w:val="00C229DB"/>
    <w:rsid w:val="00C22F33"/>
    <w:rsid w:val="00C231F9"/>
    <w:rsid w:val="00C23665"/>
    <w:rsid w:val="00C36E8E"/>
    <w:rsid w:val="00C42290"/>
    <w:rsid w:val="00C47D88"/>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306"/>
    <w:rsid w:val="00CA1888"/>
    <w:rsid w:val="00CB4363"/>
    <w:rsid w:val="00CB7E8F"/>
    <w:rsid w:val="00CC4DD7"/>
    <w:rsid w:val="00CC7633"/>
    <w:rsid w:val="00CC7814"/>
    <w:rsid w:val="00CE265E"/>
    <w:rsid w:val="00CE3A26"/>
    <w:rsid w:val="00CE6172"/>
    <w:rsid w:val="00CF1325"/>
    <w:rsid w:val="00CF1D00"/>
    <w:rsid w:val="00CF5FD5"/>
    <w:rsid w:val="00D00DC8"/>
    <w:rsid w:val="00D0194F"/>
    <w:rsid w:val="00D01C05"/>
    <w:rsid w:val="00D12956"/>
    <w:rsid w:val="00D14AE5"/>
    <w:rsid w:val="00D224DA"/>
    <w:rsid w:val="00D237D1"/>
    <w:rsid w:val="00D2380C"/>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1065D"/>
    <w:rsid w:val="00E216EE"/>
    <w:rsid w:val="00E31277"/>
    <w:rsid w:val="00E32D7B"/>
    <w:rsid w:val="00E4636F"/>
    <w:rsid w:val="00E53264"/>
    <w:rsid w:val="00E540D6"/>
    <w:rsid w:val="00E54695"/>
    <w:rsid w:val="00E65590"/>
    <w:rsid w:val="00E65870"/>
    <w:rsid w:val="00E67561"/>
    <w:rsid w:val="00E67F2A"/>
    <w:rsid w:val="00E7421E"/>
    <w:rsid w:val="00E765EE"/>
    <w:rsid w:val="00E7779F"/>
    <w:rsid w:val="00E823F2"/>
    <w:rsid w:val="00E8539E"/>
    <w:rsid w:val="00E9178A"/>
    <w:rsid w:val="00E921ED"/>
    <w:rsid w:val="00E955E3"/>
    <w:rsid w:val="00E961B2"/>
    <w:rsid w:val="00EA684A"/>
    <w:rsid w:val="00EB352F"/>
    <w:rsid w:val="00EB436D"/>
    <w:rsid w:val="00EC19AD"/>
    <w:rsid w:val="00EC4D09"/>
    <w:rsid w:val="00EC5A70"/>
    <w:rsid w:val="00ED033E"/>
    <w:rsid w:val="00ED6DB5"/>
    <w:rsid w:val="00EE490F"/>
    <w:rsid w:val="00EE6150"/>
    <w:rsid w:val="00EF032B"/>
    <w:rsid w:val="00EF0C9C"/>
    <w:rsid w:val="00EF1ECD"/>
    <w:rsid w:val="00EF2614"/>
    <w:rsid w:val="00F01FD2"/>
    <w:rsid w:val="00F05565"/>
    <w:rsid w:val="00F11EE2"/>
    <w:rsid w:val="00F12DA2"/>
    <w:rsid w:val="00F149E5"/>
    <w:rsid w:val="00F17CC8"/>
    <w:rsid w:val="00F24ED6"/>
    <w:rsid w:val="00F344D1"/>
    <w:rsid w:val="00F34F07"/>
    <w:rsid w:val="00F34F7E"/>
    <w:rsid w:val="00F41229"/>
    <w:rsid w:val="00F41651"/>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A6AB9"/>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613B95"/>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613B95"/>
    <w:rPr>
      <w:rFonts w:ascii="Arial" w:eastAsia="Arial" w:hAnsi="Arial" w:cs="Arial"/>
      <w:sz w:val="24"/>
      <w:szCs w:val="24"/>
      <w:lang w:bidi="tr-TR"/>
    </w:rPr>
  </w:style>
  <w:style w:type="character" w:customStyle="1" w:styleId="fontstyle01">
    <w:name w:val="fontstyle01"/>
    <w:basedOn w:val="VarsaylanParagrafYazTipi"/>
    <w:rsid w:val="00EC19AD"/>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499001404">
      <w:bodyDiv w:val="1"/>
      <w:marLeft w:val="0"/>
      <w:marRight w:val="0"/>
      <w:marTop w:val="0"/>
      <w:marBottom w:val="0"/>
      <w:divBdr>
        <w:top w:val="none" w:sz="0" w:space="0" w:color="auto"/>
        <w:left w:val="none" w:sz="0" w:space="0" w:color="auto"/>
        <w:bottom w:val="none" w:sz="0" w:space="0" w:color="auto"/>
        <w:right w:val="none" w:sz="0" w:space="0" w:color="auto"/>
      </w:divBdr>
    </w:div>
    <w:div w:id="520508856">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75513169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87493726">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09607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06971400">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18648052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56481219">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66280600">
      <w:bodyDiv w:val="1"/>
      <w:marLeft w:val="0"/>
      <w:marRight w:val="0"/>
      <w:marTop w:val="0"/>
      <w:marBottom w:val="0"/>
      <w:divBdr>
        <w:top w:val="none" w:sz="0" w:space="0" w:color="auto"/>
        <w:left w:val="none" w:sz="0" w:space="0" w:color="auto"/>
        <w:bottom w:val="none" w:sz="0" w:space="0" w:color="auto"/>
        <w:right w:val="none" w:sz="0" w:space="0" w:color="auto"/>
      </w:divBdr>
    </w:div>
    <w:div w:id="1672561699">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29271888">
      <w:bodyDiv w:val="1"/>
      <w:marLeft w:val="0"/>
      <w:marRight w:val="0"/>
      <w:marTop w:val="0"/>
      <w:marBottom w:val="0"/>
      <w:divBdr>
        <w:top w:val="none" w:sz="0" w:space="0" w:color="auto"/>
        <w:left w:val="none" w:sz="0" w:space="0" w:color="auto"/>
        <w:bottom w:val="none" w:sz="0" w:space="0" w:color="auto"/>
        <w:right w:val="none" w:sz="0" w:space="0" w:color="auto"/>
      </w:divBdr>
    </w:div>
    <w:div w:id="2003729596">
      <w:bodyDiv w:val="1"/>
      <w:marLeft w:val="0"/>
      <w:marRight w:val="0"/>
      <w:marTop w:val="0"/>
      <w:marBottom w:val="0"/>
      <w:divBdr>
        <w:top w:val="none" w:sz="0" w:space="0" w:color="auto"/>
        <w:left w:val="none" w:sz="0" w:space="0" w:color="auto"/>
        <w:bottom w:val="none" w:sz="0" w:space="0" w:color="auto"/>
        <w:right w:val="none" w:sz="0" w:space="0" w:color="auto"/>
      </w:divBdr>
    </w:div>
    <w:div w:id="2019380484">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0006374">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4446518">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382</Words>
  <Characters>2944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zekiye.yılmaz</cp:lastModifiedBy>
  <cp:revision>424</cp:revision>
  <cp:lastPrinted>2026-04-14T10:18:00Z</cp:lastPrinted>
  <dcterms:created xsi:type="dcterms:W3CDTF">2024-08-27T08:27:00Z</dcterms:created>
  <dcterms:modified xsi:type="dcterms:W3CDTF">2026-04-14T10:19:00Z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