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22FEE" w:rsidRDefault="008F158F" w:rsidP="00727EDD">
            <w:pPr>
              <w:ind w:left="-108" w:firstLine="709"/>
              <w:jc w:val="both"/>
              <w:rPr>
                <w:rFonts w:ascii="Arial" w:hAnsi="Arial" w:cs="Arial"/>
                <w:sz w:val="24"/>
                <w:szCs w:val="24"/>
              </w:rPr>
            </w:pPr>
            <w:proofErr w:type="gramStart"/>
            <w:r w:rsidRPr="00C22FEE">
              <w:rPr>
                <w:rFonts w:ascii="Arial" w:hAnsi="Arial" w:cs="Arial"/>
                <w:sz w:val="24"/>
                <w:szCs w:val="24"/>
              </w:rPr>
              <w:t>Belediye Meclisinin 04.05.2026 tarih ve 1</w:t>
            </w:r>
            <w:r w:rsidR="00F91B1C" w:rsidRPr="00C22FEE">
              <w:rPr>
                <w:rFonts w:ascii="Arial" w:hAnsi="Arial" w:cs="Arial"/>
                <w:sz w:val="24"/>
                <w:szCs w:val="24"/>
              </w:rPr>
              <w:t>3</w:t>
            </w:r>
            <w:r w:rsidR="00F636CF" w:rsidRPr="00C22FEE">
              <w:rPr>
                <w:rFonts w:ascii="Arial" w:hAnsi="Arial" w:cs="Arial"/>
                <w:sz w:val="24"/>
                <w:szCs w:val="24"/>
              </w:rPr>
              <w:t>5</w:t>
            </w:r>
            <w:r w:rsidRPr="00C22FEE">
              <w:rPr>
                <w:rFonts w:ascii="Arial" w:hAnsi="Arial" w:cs="Arial"/>
                <w:sz w:val="24"/>
                <w:szCs w:val="24"/>
              </w:rPr>
              <w:t xml:space="preserve"> sayılı ara kararı </w:t>
            </w:r>
            <w:r w:rsidR="00F636CF" w:rsidRPr="00C22FEE">
              <w:rPr>
                <w:rFonts w:ascii="Arial" w:hAnsi="Arial" w:cs="Arial"/>
                <w:sz w:val="24"/>
                <w:szCs w:val="24"/>
              </w:rPr>
              <w:t xml:space="preserve">İmar Komisyonu ile Hukuk ve Temel Haklar </w:t>
            </w:r>
            <w:r w:rsidRPr="00C22FEE">
              <w:rPr>
                <w:rFonts w:ascii="Arial" w:hAnsi="Arial" w:cs="Arial"/>
                <w:sz w:val="24"/>
                <w:szCs w:val="24"/>
              </w:rPr>
              <w:t xml:space="preserve">Komisyonuna </w:t>
            </w:r>
            <w:r w:rsidR="006F1101">
              <w:rPr>
                <w:rFonts w:ascii="Arial" w:hAnsi="Arial" w:cs="Arial"/>
                <w:sz w:val="24"/>
                <w:szCs w:val="24"/>
              </w:rPr>
              <w:t xml:space="preserve">ortak </w:t>
            </w:r>
            <w:r w:rsidRPr="00C22FEE">
              <w:rPr>
                <w:rFonts w:ascii="Arial" w:hAnsi="Arial" w:cs="Arial"/>
                <w:sz w:val="24"/>
                <w:szCs w:val="24"/>
              </w:rPr>
              <w:t xml:space="preserve">havale edilen </w:t>
            </w:r>
            <w:r w:rsidR="00F636CF" w:rsidRPr="00C22FEE">
              <w:rPr>
                <w:rFonts w:ascii="Arial" w:hAnsi="Arial" w:cs="Arial"/>
                <w:sz w:val="24"/>
                <w:szCs w:val="24"/>
              </w:rPr>
              <w:t xml:space="preserve">Mersin İli, Yenişehir İlçesi </w:t>
            </w:r>
            <w:proofErr w:type="spellStart"/>
            <w:r w:rsidR="00F636CF" w:rsidRPr="00C22FEE">
              <w:rPr>
                <w:rFonts w:ascii="Arial" w:hAnsi="Arial" w:cs="Arial"/>
                <w:sz w:val="24"/>
                <w:szCs w:val="24"/>
              </w:rPr>
              <w:t>Menteş</w:t>
            </w:r>
            <w:proofErr w:type="spellEnd"/>
            <w:r w:rsidR="00F636CF" w:rsidRPr="00C22FEE">
              <w:rPr>
                <w:rFonts w:ascii="Arial" w:hAnsi="Arial" w:cs="Arial"/>
                <w:sz w:val="24"/>
                <w:szCs w:val="24"/>
              </w:rPr>
              <w:t xml:space="preserve"> Mahallesi 7</w:t>
            </w:r>
            <w:r w:rsidR="00727EDD">
              <w:rPr>
                <w:rFonts w:ascii="Arial" w:hAnsi="Arial" w:cs="Arial"/>
                <w:sz w:val="24"/>
                <w:szCs w:val="24"/>
              </w:rPr>
              <w:t>835</w:t>
            </w:r>
            <w:r w:rsidR="00F636CF" w:rsidRPr="00C22FEE">
              <w:rPr>
                <w:rFonts w:ascii="Arial" w:hAnsi="Arial" w:cs="Arial"/>
                <w:sz w:val="24"/>
                <w:szCs w:val="24"/>
              </w:rPr>
              <w:t xml:space="preserve"> ada 1 parsel sayılı taşınmaza ilişkin olarak açılan ortaklığın giderilmesi davasında Belediyemizce istinaf kanun yoluna başvurulmaması</w:t>
            </w:r>
            <w:r w:rsidR="00F91B1C" w:rsidRPr="00C22FEE">
              <w:rPr>
                <w:rFonts w:ascii="Arial" w:hAnsi="Arial" w:cs="Arial"/>
                <w:sz w:val="24"/>
                <w:szCs w:val="24"/>
              </w:rPr>
              <w:t xml:space="preserve"> </w:t>
            </w:r>
            <w:r w:rsidRPr="00C22FEE">
              <w:rPr>
                <w:rFonts w:ascii="Arial" w:hAnsi="Arial" w:cs="Arial"/>
                <w:sz w:val="24"/>
                <w:szCs w:val="24"/>
              </w:rPr>
              <w:t>ile ilgili 07.05.202</w:t>
            </w:r>
            <w:r w:rsidR="00174F89" w:rsidRPr="00C22FEE">
              <w:rPr>
                <w:rFonts w:ascii="Arial" w:hAnsi="Arial" w:cs="Arial"/>
                <w:sz w:val="24"/>
                <w:szCs w:val="24"/>
              </w:rPr>
              <w:t>6</w:t>
            </w:r>
            <w:r w:rsidRPr="00C22FEE">
              <w:rPr>
                <w:rFonts w:ascii="Arial" w:hAnsi="Arial" w:cs="Arial"/>
                <w:sz w:val="24"/>
                <w:szCs w:val="24"/>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F91B1C" w:rsidRDefault="00F91B1C">
            <w:pPr>
              <w:jc w:val="center"/>
              <w:rPr>
                <w:b/>
                <w:sz w:val="24"/>
                <w:u w:val="single"/>
              </w:rPr>
            </w:pPr>
          </w:p>
          <w:p w:rsidR="00C22FEE" w:rsidRDefault="00C22FEE" w:rsidP="00C22FEE">
            <w:pPr>
              <w:ind w:firstLine="708"/>
              <w:jc w:val="both"/>
              <w:rPr>
                <w:rFonts w:ascii="Arial" w:hAnsi="Arial" w:cs="Arial"/>
                <w:sz w:val="24"/>
                <w:szCs w:val="24"/>
              </w:rPr>
            </w:pPr>
            <w:r>
              <w:rPr>
                <w:rFonts w:ascii="Arial" w:hAnsi="Arial" w:cs="Arial"/>
                <w:sz w:val="24"/>
                <w:szCs w:val="24"/>
              </w:rPr>
              <w:t xml:space="preserve">Belediyemizin hissedarı olduğu Mersin ili, Yenişehir ilçesi, </w:t>
            </w:r>
            <w:proofErr w:type="spellStart"/>
            <w:r>
              <w:rPr>
                <w:rFonts w:ascii="Arial" w:hAnsi="Arial" w:cs="Arial"/>
                <w:sz w:val="24"/>
                <w:szCs w:val="24"/>
              </w:rPr>
              <w:t>Menteş</w:t>
            </w:r>
            <w:proofErr w:type="spellEnd"/>
            <w:r>
              <w:rPr>
                <w:rFonts w:ascii="Arial" w:hAnsi="Arial" w:cs="Arial"/>
                <w:sz w:val="24"/>
                <w:szCs w:val="24"/>
              </w:rPr>
              <w:t xml:space="preserve"> Mahallesi, 7</w:t>
            </w:r>
            <w:r w:rsidR="00727EDD">
              <w:rPr>
                <w:rFonts w:ascii="Arial" w:hAnsi="Arial" w:cs="Arial"/>
                <w:sz w:val="24"/>
                <w:szCs w:val="24"/>
              </w:rPr>
              <w:t>835</w:t>
            </w:r>
            <w:r>
              <w:rPr>
                <w:rFonts w:ascii="Arial" w:hAnsi="Arial" w:cs="Arial"/>
                <w:sz w:val="24"/>
                <w:szCs w:val="24"/>
              </w:rPr>
              <w:t xml:space="preserve"> ada 1 parsel sayılı taşınmaza ilişkin olarak açılan ortaklığın giderilmesi davasında, Mersin 3. Sulh Hukuk Mahkemesi’nin </w:t>
            </w:r>
            <w:proofErr w:type="gramStart"/>
            <w:r>
              <w:rPr>
                <w:rFonts w:ascii="Arial" w:hAnsi="Arial" w:cs="Arial"/>
                <w:sz w:val="24"/>
                <w:szCs w:val="24"/>
              </w:rPr>
              <w:t>20/04/2026</w:t>
            </w:r>
            <w:proofErr w:type="gramEnd"/>
            <w:r>
              <w:rPr>
                <w:rFonts w:ascii="Arial" w:hAnsi="Arial" w:cs="Arial"/>
                <w:sz w:val="24"/>
                <w:szCs w:val="24"/>
              </w:rPr>
              <w:t xml:space="preserve"> tarihli, 2025/119 E. ve 2026/312 K. sayılı kararı ile dava konusu taşınmaz üzerindeki ortaklığın satış suretiyle giderilmesine karar verildiği anlaşıldığından teklif Belediye meclisinin 04.05.2026 tarih ve 135 sayılı ara kararı ile İmar Komisyonu ile Hukuk ve Temel Haklar Komisyonuna ortak havale edilmiştir.</w:t>
            </w:r>
          </w:p>
          <w:p w:rsidR="00C22FEE" w:rsidRPr="00825D82" w:rsidRDefault="00C22FEE" w:rsidP="00C22FEE">
            <w:pPr>
              <w:ind w:firstLine="708"/>
              <w:jc w:val="both"/>
              <w:rPr>
                <w:rFonts w:ascii="Arial" w:hAnsi="Arial" w:cs="Arial"/>
                <w:sz w:val="16"/>
                <w:szCs w:val="16"/>
              </w:rPr>
            </w:pPr>
          </w:p>
          <w:p w:rsidR="00C22FEE" w:rsidRDefault="00C22FEE" w:rsidP="00C22FEE">
            <w:pPr>
              <w:ind w:firstLine="708"/>
              <w:jc w:val="both"/>
              <w:rPr>
                <w:rFonts w:ascii="Arial" w:hAnsi="Arial" w:cs="Arial"/>
                <w:sz w:val="24"/>
                <w:szCs w:val="24"/>
              </w:rPr>
            </w:pPr>
            <w:r>
              <w:rPr>
                <w:rFonts w:ascii="Arial" w:hAnsi="Arial" w:cs="Arial"/>
                <w:sz w:val="24"/>
                <w:szCs w:val="24"/>
              </w:rPr>
              <w:t xml:space="preserve">Dosya kapsamında; mahkeme kararları, bilirkişi raporları, taşınmazın güncel plandaki vasfını gösterir yazı, tapu/hisse durumu ve davacı Mehmet Halim Kartal’ın </w:t>
            </w:r>
            <w:proofErr w:type="gramStart"/>
            <w:r>
              <w:rPr>
                <w:rFonts w:ascii="Arial" w:hAnsi="Arial" w:cs="Arial"/>
                <w:sz w:val="24"/>
                <w:szCs w:val="24"/>
              </w:rPr>
              <w:t>28/04/2026</w:t>
            </w:r>
            <w:proofErr w:type="gramEnd"/>
            <w:r>
              <w:rPr>
                <w:rFonts w:ascii="Arial" w:hAnsi="Arial" w:cs="Arial"/>
                <w:sz w:val="24"/>
                <w:szCs w:val="24"/>
              </w:rPr>
              <w:t xml:space="preserve"> tarihli ve 22811 sayılı dilekçesi birlikte değerlendirilmiştir.</w:t>
            </w:r>
          </w:p>
          <w:p w:rsidR="00C22FEE" w:rsidRDefault="00C22FEE" w:rsidP="00C22FEE">
            <w:pPr>
              <w:ind w:firstLine="708"/>
              <w:jc w:val="both"/>
              <w:rPr>
                <w:rFonts w:ascii="Arial" w:hAnsi="Arial" w:cs="Arial"/>
                <w:sz w:val="8"/>
                <w:szCs w:val="8"/>
              </w:rPr>
            </w:pPr>
          </w:p>
          <w:p w:rsidR="00825D82" w:rsidRDefault="00825D82" w:rsidP="00C22FEE">
            <w:pPr>
              <w:ind w:firstLine="708"/>
              <w:jc w:val="both"/>
              <w:rPr>
                <w:rFonts w:ascii="Arial" w:hAnsi="Arial" w:cs="Arial"/>
                <w:sz w:val="8"/>
                <w:szCs w:val="8"/>
              </w:rPr>
            </w:pPr>
          </w:p>
          <w:p w:rsidR="00C22FEE" w:rsidRDefault="00C22FEE" w:rsidP="00C22FEE">
            <w:pPr>
              <w:ind w:firstLine="708"/>
              <w:jc w:val="both"/>
              <w:rPr>
                <w:rFonts w:ascii="Arial" w:hAnsi="Arial" w:cs="Arial"/>
                <w:sz w:val="24"/>
                <w:szCs w:val="24"/>
              </w:rPr>
            </w:pPr>
            <w:r>
              <w:rPr>
                <w:rFonts w:ascii="Arial" w:hAnsi="Arial" w:cs="Arial"/>
                <w:sz w:val="24"/>
                <w:szCs w:val="24"/>
              </w:rPr>
              <w:t xml:space="preserve">5393 sayılı Belediye Kanunu’nun 18. maddesinin birinci fıkrasının (h) bendi uyarınca; vergi, resim ve harçlar dışında kalan ve miktarı </w:t>
            </w:r>
            <w:proofErr w:type="spellStart"/>
            <w:r>
              <w:rPr>
                <w:rFonts w:ascii="Arial" w:hAnsi="Arial" w:cs="Arial"/>
                <w:sz w:val="24"/>
                <w:szCs w:val="24"/>
              </w:rPr>
              <w:t>beşbin</w:t>
            </w:r>
            <w:proofErr w:type="spellEnd"/>
            <w:r>
              <w:rPr>
                <w:rFonts w:ascii="Arial" w:hAnsi="Arial" w:cs="Arial"/>
                <w:sz w:val="24"/>
                <w:szCs w:val="24"/>
              </w:rPr>
              <w:t xml:space="preserve"> TL’den fazla dava konusu olan belediye uyuşmazlıklarını sulh ile tasfiyeye, kabul ve feragate karar vermek Belediye Meclisinin görev ve yetkileri arasında sayılmıştır. Bu kapsamda, dava konusu uyuşmazlığın niteliği ve Belediyemizin taşınmazdaki hissedarlık durumu dikkate alınarak konunun Belediye Meclisince değerlendirilmesi gerektiği kanaatine varılmıştır.</w:t>
            </w:r>
          </w:p>
          <w:p w:rsidR="00825D82" w:rsidRPr="00825D82" w:rsidRDefault="00825D82" w:rsidP="00C22FEE">
            <w:pPr>
              <w:ind w:firstLine="708"/>
              <w:jc w:val="both"/>
              <w:rPr>
                <w:rFonts w:ascii="Arial" w:hAnsi="Arial" w:cs="Arial"/>
                <w:sz w:val="16"/>
                <w:szCs w:val="16"/>
              </w:rPr>
            </w:pPr>
          </w:p>
          <w:p w:rsidR="00C22FEE" w:rsidRDefault="00C22FEE" w:rsidP="00C22FEE">
            <w:pPr>
              <w:ind w:firstLine="708"/>
              <w:jc w:val="both"/>
              <w:rPr>
                <w:rFonts w:ascii="Arial" w:hAnsi="Arial" w:cs="Arial"/>
                <w:sz w:val="24"/>
                <w:szCs w:val="24"/>
              </w:rPr>
            </w:pPr>
            <w:r>
              <w:rPr>
                <w:rFonts w:ascii="Arial" w:hAnsi="Arial" w:cs="Arial"/>
                <w:sz w:val="24"/>
                <w:szCs w:val="24"/>
              </w:rPr>
              <w:t>Ortaklığın giderilmesi davası niteliği itibarıyla paydaşlar arasındaki birlikte mülkiyet ilişkisinin sona erdirilmesine yönelik olup, satış suretiyle ortaklığın giderilmesi halinde Belediyemizin taşınmazdaki payı karşılıksız şekilde ortadan kalkmamakta; satış bedelinden Belediyemiz hissesine isabet eden tutarın tahsili söz konusu olmaktadır.</w:t>
            </w:r>
          </w:p>
          <w:p w:rsidR="00825D82" w:rsidRPr="00825D82" w:rsidRDefault="00825D82" w:rsidP="00C22FEE">
            <w:pPr>
              <w:ind w:firstLine="708"/>
              <w:jc w:val="both"/>
              <w:rPr>
                <w:rFonts w:ascii="Arial" w:hAnsi="Arial" w:cs="Arial"/>
                <w:sz w:val="8"/>
                <w:szCs w:val="8"/>
              </w:rPr>
            </w:pPr>
          </w:p>
          <w:p w:rsidR="00C22FEE" w:rsidRDefault="00C22FEE" w:rsidP="00C22FEE">
            <w:pPr>
              <w:ind w:firstLine="708"/>
              <w:jc w:val="both"/>
              <w:rPr>
                <w:rFonts w:ascii="Arial" w:hAnsi="Arial" w:cs="Arial"/>
                <w:sz w:val="8"/>
                <w:szCs w:val="8"/>
              </w:rPr>
            </w:pPr>
          </w:p>
          <w:p w:rsidR="00C22FEE" w:rsidRDefault="00C22FEE" w:rsidP="00C22FEE">
            <w:pPr>
              <w:ind w:firstLine="708"/>
              <w:jc w:val="both"/>
              <w:rPr>
                <w:rFonts w:ascii="Arial" w:hAnsi="Arial" w:cs="Arial"/>
                <w:sz w:val="24"/>
                <w:szCs w:val="24"/>
              </w:rPr>
            </w:pPr>
            <w:r>
              <w:rPr>
                <w:rFonts w:ascii="Arial" w:hAnsi="Arial" w:cs="Arial"/>
                <w:sz w:val="24"/>
                <w:szCs w:val="24"/>
              </w:rPr>
              <w:t>Ortak komisyon raporu doğrultusunda; dosyada alınan bilirkişi raporlarında taşınmazın ivaz ilavesiyle dahi aynen taksiminin mümkün olmadığı ve ortaklığın satış yoluyla giderilebileceği yönünde görüş bildirildiği, Belediyemiz hissesinin sınırlı nitelikte olduğu, taşınmazdaki mevcut paydaşlık ilişkisinin devamının Belediyemiz yönünden ayrıca korunması gereken somut bir hukuki yarar doğurmadığı değerlendirilmiştir.</w:t>
            </w:r>
          </w:p>
          <w:p w:rsidR="00825D82" w:rsidRPr="00825D82" w:rsidRDefault="00825D82" w:rsidP="00C22FEE">
            <w:pPr>
              <w:ind w:firstLine="708"/>
              <w:jc w:val="both"/>
              <w:rPr>
                <w:rFonts w:ascii="Arial" w:hAnsi="Arial" w:cs="Arial"/>
                <w:sz w:val="8"/>
                <w:szCs w:val="8"/>
              </w:rPr>
            </w:pPr>
          </w:p>
          <w:p w:rsidR="00C22FEE" w:rsidRPr="00825D82" w:rsidRDefault="00C22FEE" w:rsidP="00C22FEE">
            <w:pPr>
              <w:ind w:firstLine="708"/>
              <w:jc w:val="both"/>
              <w:rPr>
                <w:rFonts w:ascii="Arial" w:hAnsi="Arial" w:cs="Arial"/>
                <w:sz w:val="4"/>
                <w:szCs w:val="4"/>
              </w:rPr>
            </w:pPr>
          </w:p>
          <w:p w:rsidR="00C22FEE" w:rsidRDefault="00C22FEE" w:rsidP="00C22FEE">
            <w:pPr>
              <w:ind w:firstLine="708"/>
              <w:jc w:val="both"/>
              <w:rPr>
                <w:rFonts w:ascii="Arial" w:hAnsi="Arial" w:cs="Arial"/>
                <w:sz w:val="24"/>
                <w:szCs w:val="24"/>
              </w:rPr>
            </w:pPr>
            <w:r>
              <w:rPr>
                <w:rFonts w:ascii="Arial" w:hAnsi="Arial" w:cs="Arial"/>
                <w:sz w:val="24"/>
                <w:szCs w:val="24"/>
              </w:rPr>
              <w:t>Bunun yanında, ortaklığın satış suretiyle giderilmesine ilişkin kararın kesinleşmesinden sonra dosyanın satış işlemlerinin yürütüleceği satış dosyası aşamasına geçeceği, taşınmazın ihale/satış sürecine çıkarılmadan önce güncel kıymet takdirinin anılan satış dosyasında yapılmasının zorunlu olduğu hususu da gözetilmiştir. Bu nedenle, dava dosyasında alınan bilirkişi raporlarındaki değer tespitleri mevcut yargılama aşamasına ilişkin olup, taşınmazın satışa çıkarılması halinde ihale işlemleri güncel kıymet takdiri üzerinden yürütülecektir.</w:t>
            </w:r>
          </w:p>
          <w:p w:rsidR="00C22FEE" w:rsidRDefault="00C22FEE" w:rsidP="00C22FEE">
            <w:pPr>
              <w:ind w:firstLine="708"/>
              <w:jc w:val="both"/>
              <w:rPr>
                <w:rFonts w:ascii="Arial" w:hAnsi="Arial" w:cs="Arial"/>
                <w:sz w:val="8"/>
                <w:szCs w:val="8"/>
              </w:rPr>
            </w:pPr>
          </w:p>
          <w:p w:rsidR="00C22FEE" w:rsidRDefault="00C22FEE" w:rsidP="00C22FEE">
            <w:pPr>
              <w:ind w:firstLine="708"/>
              <w:jc w:val="both"/>
              <w:rPr>
                <w:rFonts w:ascii="Arial" w:hAnsi="Arial" w:cs="Arial"/>
                <w:sz w:val="24"/>
                <w:szCs w:val="24"/>
              </w:rPr>
            </w:pPr>
            <w:r>
              <w:rPr>
                <w:rFonts w:ascii="Arial" w:hAnsi="Arial" w:cs="Arial"/>
                <w:sz w:val="24"/>
                <w:szCs w:val="24"/>
              </w:rPr>
              <w:t>Bu itibarla, Belediyemizin düşük oranlı hissedar olduğu taşınmaz yönünden paydaşlık ilişkisinin sürdürülmesinde Belediyemiz açısından somut ve üstün bir hukuki yarar bulunmadığı; buna karşılık kararın kesinleşmesiyle satış sürecine geçilerek Belediyemiz hissesine karşılık gelen bedelin daha kısa sürede tahsil edilebileceği değerlendirilmiştir. Yargılamanın istinaf aşamasına taşınması ise sürecin uzamasına, ek yargılama giderleri ve emek-zaman kaybına neden olabilecektir.</w:t>
            </w:r>
          </w:p>
          <w:p w:rsidR="00C22FEE" w:rsidRDefault="00C22FEE" w:rsidP="00C22FEE">
            <w:pPr>
              <w:ind w:firstLine="708"/>
              <w:jc w:val="both"/>
              <w:rPr>
                <w:rFonts w:ascii="Arial" w:hAnsi="Arial" w:cs="Arial"/>
                <w:sz w:val="24"/>
              </w:rPr>
            </w:pPr>
          </w:p>
          <w:p w:rsidR="00C22FEE" w:rsidRDefault="00825D82" w:rsidP="00825D82">
            <w:pPr>
              <w:ind w:firstLine="708"/>
              <w:jc w:val="center"/>
              <w:rPr>
                <w:b/>
                <w:sz w:val="24"/>
              </w:rPr>
            </w:pPr>
            <w:r>
              <w:rPr>
                <w:b/>
                <w:sz w:val="24"/>
              </w:rPr>
              <w:t>KARAR</w:t>
            </w:r>
          </w:p>
          <w:p w:rsidR="00825D82" w:rsidRDefault="00825D82" w:rsidP="00825D82">
            <w:pPr>
              <w:ind w:firstLine="708"/>
              <w:jc w:val="center"/>
              <w:rPr>
                <w:b/>
                <w:sz w:val="24"/>
              </w:rPr>
            </w:pPr>
          </w:p>
          <w:p w:rsidR="00825D82" w:rsidRDefault="00825D82" w:rsidP="00825D82">
            <w:pPr>
              <w:ind w:firstLine="708"/>
              <w:jc w:val="center"/>
              <w:rPr>
                <w:rFonts w:ascii="Arial" w:hAnsi="Arial" w:cs="Arial"/>
                <w:sz w:val="24"/>
              </w:rPr>
            </w:pPr>
          </w:p>
          <w:p w:rsidR="00C22FEE" w:rsidRDefault="00C22FEE" w:rsidP="00C22FEE">
            <w:pPr>
              <w:ind w:firstLine="708"/>
              <w:jc w:val="both"/>
              <w:rPr>
                <w:rFonts w:ascii="Arial" w:hAnsi="Arial" w:cs="Arial"/>
                <w:sz w:val="24"/>
                <w:szCs w:val="24"/>
              </w:rPr>
            </w:pPr>
            <w:r>
              <w:rPr>
                <w:rFonts w:ascii="Arial" w:hAnsi="Arial" w:cs="Arial"/>
                <w:sz w:val="24"/>
                <w:szCs w:val="24"/>
              </w:rPr>
              <w:t xml:space="preserve">Bu kapsamda, taşınmazın güncel kıymet takdiri yapılmak suretiyle satışa çıkarılacak olması, Belediyemiz hissesinin karşılıksız şekilde ortadan kalkmayıp satış bedeline dönüşecek bulunması, Belediyemizin fiilen fayda elde edemediği taşınmaz payının ekonomik değere dönüştürülmesi, kamu kaynaklarının etkin ve verimli kullanılması, kamu yararı, hizmet gerekleri, dava ekonomisi ve usul ekonomisi ilkeleri birlikte dikkate alındığında; Mersin 3. Sulh Hukuk Mahkemesi’nin </w:t>
            </w:r>
            <w:proofErr w:type="gramStart"/>
            <w:r>
              <w:rPr>
                <w:rFonts w:ascii="Arial" w:hAnsi="Arial" w:cs="Arial"/>
                <w:sz w:val="24"/>
                <w:szCs w:val="24"/>
              </w:rPr>
              <w:t>20/04/2026</w:t>
            </w:r>
            <w:proofErr w:type="gramEnd"/>
            <w:r>
              <w:rPr>
                <w:rFonts w:ascii="Arial" w:hAnsi="Arial" w:cs="Arial"/>
                <w:sz w:val="24"/>
                <w:szCs w:val="24"/>
              </w:rPr>
              <w:t xml:space="preserve"> tarihli, 2025/119 E. ve 2026/312 K. sayılı kararına karşı Belediyemizce istinaf kanun yoluna başvurulmamasının uygun olacağı kanaatine varılmıştır.</w:t>
            </w:r>
          </w:p>
          <w:p w:rsidR="00C22FEE" w:rsidRDefault="00C22FEE" w:rsidP="00C22FEE">
            <w:pPr>
              <w:ind w:firstLine="708"/>
              <w:jc w:val="both"/>
              <w:rPr>
                <w:rFonts w:ascii="Arial" w:hAnsi="Arial" w:cs="Arial"/>
                <w:sz w:val="24"/>
                <w:szCs w:val="24"/>
              </w:rPr>
            </w:pPr>
          </w:p>
          <w:p w:rsidR="00C22FEE" w:rsidRDefault="00C22FEE" w:rsidP="00C22FEE">
            <w:pPr>
              <w:ind w:firstLine="708"/>
              <w:jc w:val="both"/>
              <w:rPr>
                <w:rFonts w:ascii="Arial" w:hAnsi="Arial" w:cs="Arial"/>
                <w:sz w:val="24"/>
                <w:szCs w:val="24"/>
              </w:rPr>
            </w:pPr>
            <w:r>
              <w:rPr>
                <w:rFonts w:ascii="Arial" w:hAnsi="Arial" w:cs="Arial"/>
                <w:sz w:val="24"/>
                <w:szCs w:val="24"/>
              </w:rPr>
              <w:t xml:space="preserve">Bu nedenle; anılan mahkeme kararına karşı Belediyemizce istinaf kanun yoluna başvurulmamasının kabulüne oy birliği ile karar verildi.  </w:t>
            </w:r>
          </w:p>
          <w:p w:rsidR="008F158F" w:rsidRDefault="008F158F" w:rsidP="008F158F">
            <w:pPr>
              <w:ind w:left="-108" w:firstLine="885"/>
              <w:jc w:val="both"/>
              <w:rPr>
                <w:sz w:val="24"/>
                <w:szCs w:val="24"/>
              </w:rPr>
            </w:pPr>
          </w:p>
          <w:p w:rsidR="00825D82" w:rsidRDefault="00825D82" w:rsidP="008F158F">
            <w:pPr>
              <w:ind w:left="-108" w:firstLine="885"/>
              <w:jc w:val="both"/>
              <w:rPr>
                <w:sz w:val="24"/>
                <w:szCs w:val="24"/>
              </w:rPr>
            </w:pPr>
          </w:p>
          <w:p w:rsidR="00825D82" w:rsidRDefault="00825D82" w:rsidP="008F158F">
            <w:pPr>
              <w:ind w:left="-108" w:firstLine="885"/>
              <w:jc w:val="both"/>
              <w:rPr>
                <w:sz w:val="24"/>
                <w:szCs w:val="24"/>
              </w:rPr>
            </w:pPr>
          </w:p>
          <w:p w:rsidR="00436EBD" w:rsidRDefault="00436EBD" w:rsidP="0034527C">
            <w:pPr>
              <w:tabs>
                <w:tab w:val="left" w:pos="1593"/>
                <w:tab w:val="left" w:pos="5846"/>
                <w:tab w:val="left" w:pos="7263"/>
                <w:tab w:val="left" w:pos="7689"/>
                <w:tab w:val="right" w:pos="9512"/>
              </w:tabs>
              <w:ind w:left="31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90B9B" w:rsidRDefault="00290B9B" w:rsidP="00290B9B">
            <w:pPr>
              <w:pStyle w:val="Balk1"/>
              <w:rPr>
                <w:rFonts w:eastAsiaTheme="minorEastAsia"/>
                <w:szCs w:val="24"/>
              </w:rPr>
            </w:pPr>
            <w:r>
              <w:rPr>
                <w:rFonts w:eastAsiaTheme="minorEastAsia"/>
                <w:szCs w:val="24"/>
              </w:rPr>
              <w:t>MECLİS BAŞKANI</w:t>
            </w:r>
          </w:p>
          <w:p w:rsidR="007E33C8" w:rsidRDefault="00290B9B" w:rsidP="00290B9B">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DB6D65" w:rsidRDefault="00DB6D65" w:rsidP="002D0716"/>
    <w:p w:rsidR="00DB6D65" w:rsidRDefault="00DB6D65"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F158F" w:rsidP="00F636CF">
          <w:pPr>
            <w:pStyle w:val="Balk2"/>
            <w:jc w:val="left"/>
          </w:pPr>
          <w:r>
            <w:t>15</w:t>
          </w:r>
          <w:r w:rsidR="00F636CF">
            <w:t>3</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rsidP="008F158F">
          <w:pPr>
            <w:pStyle w:val="Balk2"/>
            <w:jc w:val="left"/>
          </w:pPr>
          <w:r>
            <w:t>1</w:t>
          </w:r>
          <w:r w:rsidR="008F158F">
            <w:t>1</w:t>
          </w:r>
        </w:p>
      </w:tc>
      <w:tc>
        <w:tcPr>
          <w:tcW w:w="4404" w:type="dxa"/>
          <w:tcBorders>
            <w:top w:val="nil"/>
            <w:left w:val="nil"/>
            <w:bottom w:val="nil"/>
            <w:right w:val="nil"/>
          </w:tcBorders>
        </w:tcPr>
        <w:p w:rsidR="00800721" w:rsidRDefault="00800721" w:rsidP="008F158F">
          <w:pPr>
            <w:pStyle w:val="Balk2"/>
            <w:rPr>
              <w:b/>
            </w:rPr>
          </w:pPr>
          <w:r>
            <w:rPr>
              <w:b/>
            </w:rPr>
            <w:t>0</w:t>
          </w:r>
          <w:r w:rsidR="008F158F">
            <w:rPr>
              <w:b/>
            </w:rPr>
            <w:t>8</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74F89"/>
    <w:rsid w:val="00180F35"/>
    <w:rsid w:val="0018212D"/>
    <w:rsid w:val="0018268A"/>
    <w:rsid w:val="00185EE2"/>
    <w:rsid w:val="0018717D"/>
    <w:rsid w:val="00190400"/>
    <w:rsid w:val="001A228B"/>
    <w:rsid w:val="001A4AD3"/>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0B9B"/>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2F7CDD"/>
    <w:rsid w:val="0034527C"/>
    <w:rsid w:val="00345B99"/>
    <w:rsid w:val="00346237"/>
    <w:rsid w:val="00347500"/>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E7A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B5B68"/>
    <w:rsid w:val="005C1021"/>
    <w:rsid w:val="005D03A6"/>
    <w:rsid w:val="005D423D"/>
    <w:rsid w:val="005F2D0F"/>
    <w:rsid w:val="005F34D5"/>
    <w:rsid w:val="005F5D4F"/>
    <w:rsid w:val="006144AD"/>
    <w:rsid w:val="00617592"/>
    <w:rsid w:val="00621434"/>
    <w:rsid w:val="00637C33"/>
    <w:rsid w:val="006421C5"/>
    <w:rsid w:val="006467BD"/>
    <w:rsid w:val="006468E4"/>
    <w:rsid w:val="006567CB"/>
    <w:rsid w:val="00660383"/>
    <w:rsid w:val="00684497"/>
    <w:rsid w:val="0069135A"/>
    <w:rsid w:val="00692D16"/>
    <w:rsid w:val="0069308D"/>
    <w:rsid w:val="0069594C"/>
    <w:rsid w:val="006964C5"/>
    <w:rsid w:val="006978E4"/>
    <w:rsid w:val="006A220D"/>
    <w:rsid w:val="006A2F85"/>
    <w:rsid w:val="006A353A"/>
    <w:rsid w:val="006A5E54"/>
    <w:rsid w:val="006B03A6"/>
    <w:rsid w:val="006C10BB"/>
    <w:rsid w:val="006D7911"/>
    <w:rsid w:val="006D7FB0"/>
    <w:rsid w:val="006E13E8"/>
    <w:rsid w:val="006F1101"/>
    <w:rsid w:val="006F20CA"/>
    <w:rsid w:val="006F36B7"/>
    <w:rsid w:val="006F5AC3"/>
    <w:rsid w:val="006F6780"/>
    <w:rsid w:val="0070469E"/>
    <w:rsid w:val="007179F2"/>
    <w:rsid w:val="0072514F"/>
    <w:rsid w:val="00727EDD"/>
    <w:rsid w:val="007301E2"/>
    <w:rsid w:val="0073323D"/>
    <w:rsid w:val="00734E51"/>
    <w:rsid w:val="0074053E"/>
    <w:rsid w:val="00754C56"/>
    <w:rsid w:val="00755819"/>
    <w:rsid w:val="00763F30"/>
    <w:rsid w:val="0077107E"/>
    <w:rsid w:val="0077604F"/>
    <w:rsid w:val="00777F2F"/>
    <w:rsid w:val="00782B13"/>
    <w:rsid w:val="00783E3F"/>
    <w:rsid w:val="00795202"/>
    <w:rsid w:val="007A4006"/>
    <w:rsid w:val="007A4DE4"/>
    <w:rsid w:val="007C013C"/>
    <w:rsid w:val="007C16CF"/>
    <w:rsid w:val="007D29EF"/>
    <w:rsid w:val="007D37D0"/>
    <w:rsid w:val="007D63D2"/>
    <w:rsid w:val="007E33C8"/>
    <w:rsid w:val="007F1428"/>
    <w:rsid w:val="007F3621"/>
    <w:rsid w:val="00800721"/>
    <w:rsid w:val="00807F3F"/>
    <w:rsid w:val="0082257E"/>
    <w:rsid w:val="00824C5B"/>
    <w:rsid w:val="008254E6"/>
    <w:rsid w:val="00825D82"/>
    <w:rsid w:val="00831374"/>
    <w:rsid w:val="008343FB"/>
    <w:rsid w:val="008517C2"/>
    <w:rsid w:val="008541CE"/>
    <w:rsid w:val="008605E5"/>
    <w:rsid w:val="0087318D"/>
    <w:rsid w:val="00877253"/>
    <w:rsid w:val="0088087C"/>
    <w:rsid w:val="00884C02"/>
    <w:rsid w:val="008B108F"/>
    <w:rsid w:val="008B46D0"/>
    <w:rsid w:val="008B63B0"/>
    <w:rsid w:val="008B65E2"/>
    <w:rsid w:val="008E4B9A"/>
    <w:rsid w:val="008F158F"/>
    <w:rsid w:val="008F1F67"/>
    <w:rsid w:val="008F2CD8"/>
    <w:rsid w:val="008F3E50"/>
    <w:rsid w:val="008F7E89"/>
    <w:rsid w:val="00900778"/>
    <w:rsid w:val="00901241"/>
    <w:rsid w:val="0091587E"/>
    <w:rsid w:val="00920E18"/>
    <w:rsid w:val="00921835"/>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05F16"/>
    <w:rsid w:val="00A119FD"/>
    <w:rsid w:val="00A147D9"/>
    <w:rsid w:val="00A15C2E"/>
    <w:rsid w:val="00A202AA"/>
    <w:rsid w:val="00A279FA"/>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5348"/>
    <w:rsid w:val="00B36E8F"/>
    <w:rsid w:val="00B36F76"/>
    <w:rsid w:val="00B55B1B"/>
    <w:rsid w:val="00B62348"/>
    <w:rsid w:val="00B70A9C"/>
    <w:rsid w:val="00B81364"/>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2FEE"/>
    <w:rsid w:val="00C231F9"/>
    <w:rsid w:val="00C23665"/>
    <w:rsid w:val="00C30AFC"/>
    <w:rsid w:val="00C36520"/>
    <w:rsid w:val="00C36E8E"/>
    <w:rsid w:val="00C51680"/>
    <w:rsid w:val="00C55CDD"/>
    <w:rsid w:val="00C55E00"/>
    <w:rsid w:val="00C5620E"/>
    <w:rsid w:val="00C57C00"/>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461"/>
    <w:rsid w:val="00D76AD3"/>
    <w:rsid w:val="00D80308"/>
    <w:rsid w:val="00D81A93"/>
    <w:rsid w:val="00D82830"/>
    <w:rsid w:val="00D85F23"/>
    <w:rsid w:val="00D92465"/>
    <w:rsid w:val="00D92A6F"/>
    <w:rsid w:val="00D94B7E"/>
    <w:rsid w:val="00DA2C12"/>
    <w:rsid w:val="00DA4A18"/>
    <w:rsid w:val="00DA628D"/>
    <w:rsid w:val="00DA78A2"/>
    <w:rsid w:val="00DB5C63"/>
    <w:rsid w:val="00DB6D65"/>
    <w:rsid w:val="00DC491F"/>
    <w:rsid w:val="00DD2B27"/>
    <w:rsid w:val="00DD6B79"/>
    <w:rsid w:val="00DE1C01"/>
    <w:rsid w:val="00DE40E0"/>
    <w:rsid w:val="00DE4EA3"/>
    <w:rsid w:val="00DE5050"/>
    <w:rsid w:val="00DE53E1"/>
    <w:rsid w:val="00DF16C8"/>
    <w:rsid w:val="00DF32C3"/>
    <w:rsid w:val="00E04F27"/>
    <w:rsid w:val="00E05162"/>
    <w:rsid w:val="00E14991"/>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11EE2"/>
    <w:rsid w:val="00F2003C"/>
    <w:rsid w:val="00F24ED6"/>
    <w:rsid w:val="00F25CD5"/>
    <w:rsid w:val="00F344D1"/>
    <w:rsid w:val="00F34F07"/>
    <w:rsid w:val="00F40749"/>
    <w:rsid w:val="00F47962"/>
    <w:rsid w:val="00F532D1"/>
    <w:rsid w:val="00F57DEF"/>
    <w:rsid w:val="00F636CF"/>
    <w:rsid w:val="00F648B2"/>
    <w:rsid w:val="00F664BF"/>
    <w:rsid w:val="00F67398"/>
    <w:rsid w:val="00F677E9"/>
    <w:rsid w:val="00F71533"/>
    <w:rsid w:val="00F72092"/>
    <w:rsid w:val="00F739CE"/>
    <w:rsid w:val="00F7653B"/>
    <w:rsid w:val="00F82C7F"/>
    <w:rsid w:val="00F84B4B"/>
    <w:rsid w:val="00F86ABE"/>
    <w:rsid w:val="00F91B1C"/>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33108643">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09211422">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158616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7037843">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74574805">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7720792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 w:id="21248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Pages>
  <Words>530</Words>
  <Characters>4351</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294</cp:revision>
  <cp:lastPrinted>2026-05-08T10:22:00Z</cp:lastPrinted>
  <dcterms:created xsi:type="dcterms:W3CDTF">2024-08-27T08:27:00Z</dcterms:created>
  <dcterms:modified xsi:type="dcterms:W3CDTF">2026-05-11T07:07:00Z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